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240"/>
      </w:pPr>
    </w:p>
    <w:p>
      <w:pPr>
        <w:jc w:val="center"/>
      </w:pPr>
      <w:r>
        <w:drawing>
          <wp:inline xmlns:pic="http://schemas.openxmlformats.org/drawingml/2006/picture">
            <wp:extent cx="1508400" cy="986400"/>
            <wp:docPr id="1" name="Picture 1"/>
            <wp:cNvGraphicFramePr>
              <a:graphicFrameLocks noChangeAspect="1"/>
            </wp:cNvGraphicFramePr>
            <a:graphic>
              <a:graphicData uri="http://schemas.openxmlformats.org/drawingml/2006/picture">
                <pic:pic>
                  <pic:nvPicPr>
                    <pic:cNvPr id="0" name="fujairah-short-logo.png"/>
                    <pic:cNvPicPr/>
                  </pic:nvPicPr>
                  <pic:blipFill>
                    <a:blip r:embed="rId11"/>
                    <a:stretch>
                      <a:fillRect/>
                    </a:stretch>
                  </pic:blipFill>
                  <pic:spPr>
                    <a:xfrm>
                      <a:off x="0" y="0"/>
                      <a:ext cx="1508400" cy="986400"/>
                    </a:xfrm>
                    <a:prstGeom prst="rect"/>
                  </pic:spPr>
                </pic:pic>
              </a:graphicData>
            </a:graphic>
          </wp:inline>
        </w:drawing>
      </w:r>
    </w:p>
    <w:p>
      <w:pPr>
        <w:spacing w:before="160" w:after="160"/>
        <w:pBdr>
          <w:bottom w:val="single" w:sz="12" w:space="4" w:color="B68A35"/>
        </w:pBdr>
      </w:pPr>
    </w:p>
    <w:p>
      <w:pPr>
        <w:bidi w:val="1"/>
        <w:pStyle w:val="Heading1"/>
        <w:spacing w:before="240" w:after="240"/>
        <w:jc w:val="center"/>
      </w:pPr>
      <w:r>
        <w:rPr>
          <w:rFonts w:ascii="Dubai" w:hAnsi="Dubai" w:eastAsia="Dubai" w:cs="Dubai"/>
          <w:b/>
          <w:color w:val="B68A35"/>
          <w:sz w:val="52"/>
          <w:szCs w:val="32"/>
          <w:rtl/>
        </w:rPr>
        <w:t>تقرير تحليل استفسارات المتعاملين — يناير - ديسمبر 2025</w:t>
      </w:r>
      <w:bookmarkStart w:id="1" w:name="_Toc000000001"/>
      <w:bookmarkEnd w:id="1"/>
    </w:p>
    <w:p>
      <w:pPr>
        <w:spacing w:before="160" w:after="160"/>
        <w:pBdr>
          <w:bottom w:val="single" w:sz="12" w:space="4" w:color="B68A35"/>
        </w:pBdr>
      </w:pPr>
    </w:p>
    <w:p>
      <w:pPr>
        <w:spacing w:before="0" w:after="320"/>
      </w:pPr>
    </w:p>
    <w:p>
      <w:pPr>
        <w:bidi w:val="1"/>
        <w:spacing w:after="160"/>
        <w:jc w:val="center"/>
      </w:pPr>
      <w:r>
        <w:rPr>
          <w:rFonts w:ascii="Dubai" w:hAnsi="Dubai" w:eastAsia="Dubai" w:cs="Dubai"/>
          <w:b/>
          <w:i w:val="0"/>
          <w:color w:val="B68A35"/>
          <w:sz w:val="28"/>
          <w:szCs w:val="24"/>
          <w:u w:val="none"/>
          <w:rtl/>
        </w:rPr>
        <w:t>يناير - ديسمبر 2025</w:t>
      </w:r>
    </w:p>
    <w:p>
      <w:pPr>
        <w:spacing w:before="0" w:after="320"/>
      </w:pPr>
    </w:p>
    <w:p>
      <w:pPr>
        <w:bidi w:val="1"/>
        <w:spacing w:after="160"/>
        <w:jc w:val="center"/>
      </w:pPr>
      <w:r>
        <w:rPr>
          <w:rFonts w:ascii="Dubai" w:hAnsi="Dubai" w:eastAsia="Dubai" w:cs="Dubai"/>
          <w:b/>
          <w:i w:val="0"/>
          <w:color w:val="B68A35"/>
          <w:sz w:val="28"/>
          <w:szCs w:val="24"/>
          <w:u w:val="none"/>
          <w:rtl/>
        </w:rPr>
        <w:t>إجمالي الحالات المغلقة: 49 حالة</w:t>
      </w:r>
    </w:p>
    <w:p>
      <w:pPr>
        <w:bidi w:val="1"/>
        <w:spacing w:after="160"/>
        <w:jc w:val="center"/>
      </w:pPr>
      <w:r>
        <w:rPr>
          <w:rFonts w:ascii="Dubai" w:hAnsi="Dubai" w:eastAsia="Dubai" w:cs="Dubai"/>
          <w:b/>
          <w:i w:val="0"/>
          <w:color w:val="B68A35"/>
          <w:sz w:val="28"/>
          <w:szCs w:val="24"/>
          <w:u w:val="none"/>
          <w:rtl/>
        </w:rPr>
        <w:t>الشكاوى: 60.0% من إجمالي التواصل</w:t>
      </w:r>
    </w:p>
    <w:p>
      <w:pPr>
        <w:bidi w:val="1"/>
        <w:spacing w:after="160"/>
        <w:jc w:val="center"/>
      </w:pPr>
      <w:r>
        <w:rPr>
          <w:rFonts w:ascii="Dubai" w:hAnsi="Dubai" w:eastAsia="Dubai" w:cs="Dubai"/>
          <w:b/>
          <w:i w:val="0"/>
          <w:color w:val="B68A35"/>
          <w:sz w:val="28"/>
          <w:szCs w:val="24"/>
          <w:u w:val="none"/>
          <w:rtl/>
        </w:rPr>
        <w:t>معدل الإغلاق في الوقت المحدد: 98%</w:t>
      </w:r>
    </w:p>
    <w:p>
      <w:pPr>
        <w:spacing w:before="0" w:after="640"/>
      </w:pPr>
    </w:p>
    <w:p>
      <w:pPr>
        <w:bidi w:val="1"/>
        <w:spacing w:after="0"/>
        <w:jc w:val="center"/>
      </w:pPr>
      <w:r>
        <w:rPr>
          <w:rFonts w:ascii="Dubai" w:hAnsi="Dubai" w:eastAsia="Dubai" w:cs="Dubai"/>
          <w:b w:val="0"/>
          <w:i w:val="0"/>
          <w:color w:val="606060"/>
          <w:sz w:val="24"/>
          <w:szCs w:val="24"/>
          <w:u w:val="none"/>
          <w:rtl/>
        </w:rPr>
        <w:t>شرطة الفجيرة  |  2026-05-14  |  تحليل ذكاء األعمال المتكامل</w:t>
      </w:r>
    </w:p>
    <w:p>
      <w:r>
        <w:br w:type="page"/>
      </w:r>
    </w:p>
    <w:sdt>
      <w:sdtPr>
        <w:docPartObj>
          <w:docPartGallery w:val="Table of Contents"/>
          <w:docPartUnique/>
        </w:docPartObj>
      </w:sdtPr>
      <w:sdtEndPr/>
      <w:sdtContent>
        <w:p>
          <w:pPr>
            <w:pStyle w:val="TOCHeading"/>
          </w:pPr>
          <w:r>
            <w:rPr>
              <w:rFonts w:ascii="Dubai" w:hAnsi="Dubai" w:cs="Dubai"/>
              <w:color w:val="FFFFFF"/>
              <w:rtl/>
            </w:rPr>
            <w:t>المحتويات</w:t>
          </w:r>
        </w:p>
        <w:p>
          <w:pPr>
            <w:pStyle w:val="TOC1"/>
          </w:pPr>
          <w:r>
            <w:fldChar w:fldCharType="begin"/>
          </w:r>
          <w:r>
            <w:instrText xml:space="preserve"> TOC \o "1-3" \h \z \u </w:instrText>
          </w:r>
          <w:r>
            <w:fldChar w:fldCharType="separate"/>
          </w:r>
          <w:hyperlink w:anchor="_Toc000000002" w:history="1">
            <w:r>
              <w:rPr>
                <w:rStyle w:val="Hyperlink"/>
                <w:rFonts w:ascii="Dubai" w:hAnsi="Dubai" w:cs="Dubai"/>
                <w:noProof/>
                <w:rtl/>
              </w:rPr>
              <w:t>أولاً: الملخص التنفيذي — التحليلات الرئيسية</w:t>
            </w:r>
            <w:r>
              <w:rPr>
                <w:noProof/>
                <w:webHidden/>
              </w:rPr>
              <w:tab/>
            </w:r>
            <w:r>
              <w:fldChar w:fldCharType="begin"/>
            </w:r>
            <w:r>
              <w:instrText xml:space="preserve"> PAGEREF _Toc000000002 \h </w:instrText>
            </w:r>
            <w:r>
              <w:rPr>
                <w:noProof/>
                <w:webHidden/>
              </w:rPr>
              <w:fldChar w:fldCharType="separate"/>
            </w:r>
            <w:r>
              <w:rPr>
                <w:noProof/>
                <w:webHidden/>
                <w:rtl/>
              </w:rPr>
              <w:t>1</w:t>
            </w:r>
            <w:r>
              <w:rPr>
                <w:noProof/>
                <w:webHidden/>
              </w:rPr>
              <w:fldChar w:fldCharType="end"/>
            </w:r>
          </w:hyperlink>
        </w:p>
        <w:p>
          <w:pPr>
            <w:pStyle w:val="TOC2"/>
          </w:pPr>
          <w:hyperlink w:anchor="_Toc000000003" w:history="1">
            <w:r>
              <w:rPr>
                <w:rStyle w:val="Hyperlink"/>
                <w:rFonts w:ascii="Dubai" w:hAnsi="Dubai" w:cs="Dubai"/>
                <w:noProof/>
                <w:rtl/>
              </w:rPr>
              <w:t>النتائج الرئيسية</w:t>
            </w:r>
            <w:r>
              <w:rPr>
                <w:noProof/>
                <w:webHidden/>
              </w:rPr>
              <w:tab/>
            </w:r>
            <w:r>
              <w:fldChar w:fldCharType="begin"/>
            </w:r>
            <w:r>
              <w:instrText xml:space="preserve"> PAGEREF _Toc000000003 \h </w:instrText>
            </w:r>
            <w:r>
              <w:rPr>
                <w:noProof/>
                <w:webHidden/>
              </w:rPr>
              <w:fldChar w:fldCharType="separate"/>
            </w:r>
            <w:r>
              <w:rPr>
                <w:noProof/>
                <w:webHidden/>
                <w:rtl/>
              </w:rPr>
              <w:t>1</w:t>
            </w:r>
            <w:r>
              <w:rPr>
                <w:noProof/>
                <w:webHidden/>
              </w:rPr>
              <w:fldChar w:fldCharType="end"/>
            </w:r>
          </w:hyperlink>
        </w:p>
        <w:p>
          <w:pPr>
            <w:pStyle w:val="TOC1"/>
          </w:pPr>
          <w:hyperlink w:anchor="_Toc000000004" w:history="1">
            <w:r>
              <w:rPr>
                <w:rStyle w:val="Hyperlink"/>
                <w:rFonts w:ascii="Dubai" w:hAnsi="Dubai" w:cs="Dubai"/>
                <w:noProof/>
                <w:rtl/>
              </w:rPr>
              <w:t>ثانياً: المنهجية وطبيعة المصادر</w:t>
            </w:r>
            <w:r>
              <w:rPr>
                <w:noProof/>
                <w:webHidden/>
              </w:rPr>
              <w:tab/>
            </w:r>
            <w:r>
              <w:fldChar w:fldCharType="begin"/>
            </w:r>
            <w:r>
              <w:instrText xml:space="preserve"> PAGEREF _Toc000000004 \h </w:instrText>
            </w:r>
            <w:r>
              <w:rPr>
                <w:noProof/>
                <w:webHidden/>
              </w:rPr>
              <w:fldChar w:fldCharType="separate"/>
            </w:r>
            <w:r>
              <w:rPr>
                <w:noProof/>
                <w:webHidden/>
                <w:rtl/>
              </w:rPr>
              <w:t>1</w:t>
            </w:r>
            <w:r>
              <w:rPr>
                <w:noProof/>
                <w:webHidden/>
              </w:rPr>
              <w:fldChar w:fldCharType="end"/>
            </w:r>
          </w:hyperlink>
        </w:p>
        <w:p>
          <w:pPr>
            <w:pStyle w:val="TOC2"/>
          </w:pPr>
          <w:hyperlink w:anchor="_Toc000000005" w:history="1">
            <w:r>
              <w:rPr>
                <w:rStyle w:val="Hyperlink"/>
                <w:rFonts w:ascii="Dubai" w:hAnsi="Dubai" w:cs="Dubai"/>
                <w:noProof/>
                <w:rtl/>
              </w:rPr>
              <w:t>2.1  المصادر المُحلَّلة</w:t>
            </w:r>
            <w:r>
              <w:rPr>
                <w:noProof/>
                <w:webHidden/>
              </w:rPr>
              <w:tab/>
            </w:r>
            <w:r>
              <w:fldChar w:fldCharType="begin"/>
            </w:r>
            <w:r>
              <w:instrText xml:space="preserve"> PAGEREF _Toc000000005 \h </w:instrText>
            </w:r>
            <w:r>
              <w:rPr>
                <w:noProof/>
                <w:webHidden/>
              </w:rPr>
              <w:fldChar w:fldCharType="separate"/>
            </w:r>
            <w:r>
              <w:rPr>
                <w:noProof/>
                <w:webHidden/>
                <w:rtl/>
              </w:rPr>
              <w:t>1</w:t>
            </w:r>
            <w:r>
              <w:rPr>
                <w:noProof/>
                <w:webHidden/>
              </w:rPr>
              <w:fldChar w:fldCharType="end"/>
            </w:r>
          </w:hyperlink>
        </w:p>
        <w:p>
          <w:pPr>
            <w:pStyle w:val="TOC2"/>
          </w:pPr>
          <w:hyperlink w:anchor="_Toc000000006" w:history="1">
            <w:r>
              <w:rPr>
                <w:rStyle w:val="Hyperlink"/>
                <w:rFonts w:ascii="Dubai" w:hAnsi="Dubai" w:cs="Dubai"/>
                <w:noProof/>
                <w:rtl/>
              </w:rPr>
              <w:t>2.2  منهجية التصنيف</w:t>
            </w:r>
            <w:r>
              <w:rPr>
                <w:noProof/>
                <w:webHidden/>
              </w:rPr>
              <w:tab/>
            </w:r>
            <w:r>
              <w:fldChar w:fldCharType="begin"/>
            </w:r>
            <w:r>
              <w:instrText xml:space="preserve"> PAGEREF _Toc000000006 \h </w:instrText>
            </w:r>
            <w:r>
              <w:rPr>
                <w:noProof/>
                <w:webHidden/>
              </w:rPr>
              <w:fldChar w:fldCharType="separate"/>
            </w:r>
            <w:r>
              <w:rPr>
                <w:noProof/>
                <w:webHidden/>
                <w:rtl/>
              </w:rPr>
              <w:t>1</w:t>
            </w:r>
            <w:r>
              <w:rPr>
                <w:noProof/>
                <w:webHidden/>
              </w:rPr>
              <w:fldChar w:fldCharType="end"/>
            </w:r>
          </w:hyperlink>
        </w:p>
        <w:p>
          <w:pPr>
            <w:pStyle w:val="TOC2"/>
          </w:pPr>
          <w:hyperlink w:anchor="_Toc000000007" w:history="1">
            <w:r>
              <w:rPr>
                <w:rStyle w:val="Hyperlink"/>
                <w:rFonts w:ascii="Dubai" w:hAnsi="Dubai" w:cs="Dubai"/>
                <w:noProof/>
                <w:rtl/>
              </w:rPr>
              <w:t>2.3  الحقول المُحلَّلة</w:t>
            </w:r>
            <w:r>
              <w:rPr>
                <w:noProof/>
                <w:webHidden/>
              </w:rPr>
              <w:tab/>
            </w:r>
            <w:r>
              <w:fldChar w:fldCharType="begin"/>
            </w:r>
            <w:r>
              <w:instrText xml:space="preserve"> PAGEREF _Toc000000007 \h </w:instrText>
            </w:r>
            <w:r>
              <w:rPr>
                <w:noProof/>
                <w:webHidden/>
              </w:rPr>
              <w:fldChar w:fldCharType="separate"/>
            </w:r>
            <w:r>
              <w:rPr>
                <w:noProof/>
                <w:webHidden/>
                <w:rtl/>
              </w:rPr>
              <w:t>1</w:t>
            </w:r>
            <w:r>
              <w:rPr>
                <w:noProof/>
                <w:webHidden/>
              </w:rPr>
              <w:fldChar w:fldCharType="end"/>
            </w:r>
          </w:hyperlink>
        </w:p>
        <w:p>
          <w:pPr>
            <w:pStyle w:val="TOC1"/>
          </w:pPr>
          <w:hyperlink w:anchor="_Toc000000008" w:history="1">
            <w:r>
              <w:rPr>
                <w:rStyle w:val="Hyperlink"/>
                <w:rFonts w:ascii="Dubai" w:hAnsi="Dubai" w:cs="Dubai"/>
                <w:noProof/>
                <w:rtl/>
              </w:rPr>
              <w:t>ثالثاً: التحليل الأول — خريطة تصنيف الطلبات</w:t>
            </w:r>
            <w:r>
              <w:rPr>
                <w:noProof/>
                <w:webHidden/>
              </w:rPr>
              <w:tab/>
            </w:r>
            <w:r>
              <w:fldChar w:fldCharType="begin"/>
            </w:r>
            <w:r>
              <w:instrText xml:space="preserve"> PAGEREF _Toc000000008 \h </w:instrText>
            </w:r>
            <w:r>
              <w:rPr>
                <w:noProof/>
                <w:webHidden/>
              </w:rPr>
              <w:fldChar w:fldCharType="separate"/>
            </w:r>
            <w:r>
              <w:rPr>
                <w:noProof/>
                <w:webHidden/>
                <w:rtl/>
              </w:rPr>
              <w:t>1</w:t>
            </w:r>
            <w:r>
              <w:rPr>
                <w:noProof/>
                <w:webHidden/>
              </w:rPr>
              <w:fldChar w:fldCharType="end"/>
            </w:r>
          </w:hyperlink>
        </w:p>
        <w:p>
          <w:pPr>
            <w:pStyle w:val="TOC2"/>
          </w:pPr>
          <w:hyperlink w:anchor="_Toc000000009" w:history="1">
            <w:r>
              <w:rPr>
                <w:rStyle w:val="Hyperlink"/>
                <w:rFonts w:ascii="Dubai" w:hAnsi="Dubai" w:cs="Dubai"/>
                <w:noProof/>
                <w:rtl/>
              </w:rPr>
              <w:t>3.1  التوزيع الفعلي لأنواع التواصل</w:t>
            </w:r>
            <w:r>
              <w:rPr>
                <w:noProof/>
                <w:webHidden/>
              </w:rPr>
              <w:tab/>
            </w:r>
            <w:r>
              <w:fldChar w:fldCharType="begin"/>
            </w:r>
            <w:r>
              <w:instrText xml:space="preserve"> PAGEREF _Toc000000009 \h </w:instrText>
            </w:r>
            <w:r>
              <w:rPr>
                <w:noProof/>
                <w:webHidden/>
              </w:rPr>
              <w:fldChar w:fldCharType="separate"/>
            </w:r>
            <w:r>
              <w:rPr>
                <w:noProof/>
                <w:webHidden/>
                <w:rtl/>
              </w:rPr>
              <w:t>1</w:t>
            </w:r>
            <w:r>
              <w:rPr>
                <w:noProof/>
                <w:webHidden/>
              </w:rPr>
              <w:fldChar w:fldCharType="end"/>
            </w:r>
          </w:hyperlink>
        </w:p>
        <w:p>
          <w:pPr>
            <w:pStyle w:val="TOC2"/>
          </w:pPr>
          <w:hyperlink w:anchor="_Toc000000010" w:history="1">
            <w:r>
              <w:rPr>
                <w:rStyle w:val="Hyperlink"/>
                <w:rFonts w:ascii="Dubai" w:hAnsi="Dubai" w:cs="Dubai"/>
                <w:noProof/>
                <w:rtl/>
              </w:rPr>
              <w:t>3.2  دقة التصنيف — 92.0% من الحالات تم إعادة تصنيفها</w:t>
            </w:r>
            <w:r>
              <w:rPr>
                <w:noProof/>
                <w:webHidden/>
              </w:rPr>
              <w:tab/>
            </w:r>
            <w:r>
              <w:fldChar w:fldCharType="begin"/>
            </w:r>
            <w:r>
              <w:instrText xml:space="preserve"> PAGEREF _Toc000000010 \h </w:instrText>
            </w:r>
            <w:r>
              <w:rPr>
                <w:noProof/>
                <w:webHidden/>
              </w:rPr>
              <w:fldChar w:fldCharType="separate"/>
            </w:r>
            <w:r>
              <w:rPr>
                <w:noProof/>
                <w:webHidden/>
                <w:rtl/>
              </w:rPr>
              <w:t>1</w:t>
            </w:r>
            <w:r>
              <w:rPr>
                <w:noProof/>
                <w:webHidden/>
              </w:rPr>
              <w:fldChar w:fldCharType="end"/>
            </w:r>
          </w:hyperlink>
        </w:p>
        <w:p>
          <w:pPr>
            <w:pStyle w:val="TOC2"/>
          </w:pPr>
          <w:hyperlink w:anchor="_Toc000000011" w:history="1">
            <w:r>
              <w:rPr>
                <w:rStyle w:val="Hyperlink"/>
                <w:rFonts w:ascii="Dubai" w:hAnsi="Dubai" w:cs="Dubai"/>
                <w:noProof/>
                <w:rtl/>
              </w:rPr>
              <w:t>3.3  تفصيل الشكاوى (30 حالة — 60.0%)</w:t>
            </w:r>
            <w:r>
              <w:rPr>
                <w:noProof/>
                <w:webHidden/>
              </w:rPr>
              <w:tab/>
            </w:r>
            <w:r>
              <w:fldChar w:fldCharType="begin"/>
            </w:r>
            <w:r>
              <w:instrText xml:space="preserve"> PAGEREF _Toc000000011 \h </w:instrText>
            </w:r>
            <w:r>
              <w:rPr>
                <w:noProof/>
                <w:webHidden/>
              </w:rPr>
              <w:fldChar w:fldCharType="separate"/>
            </w:r>
            <w:r>
              <w:rPr>
                <w:noProof/>
                <w:webHidden/>
                <w:rtl/>
              </w:rPr>
              <w:t>1</w:t>
            </w:r>
            <w:r>
              <w:rPr>
                <w:noProof/>
                <w:webHidden/>
              </w:rPr>
              <w:fldChar w:fldCharType="end"/>
            </w:r>
          </w:hyperlink>
        </w:p>
        <w:p>
          <w:pPr>
            <w:pStyle w:val="TOC2"/>
          </w:pPr>
          <w:hyperlink w:anchor="_Toc000000012" w:history="1">
            <w:r>
              <w:rPr>
                <w:rStyle w:val="Hyperlink"/>
                <w:rFonts w:ascii="Dubai" w:hAnsi="Dubai" w:cs="Dubai"/>
                <w:noProof/>
                <w:rtl/>
              </w:rPr>
              <w:t>3.4  تفصيل الطلبات والاستفسارات</w:t>
            </w:r>
            <w:r>
              <w:rPr>
                <w:noProof/>
                <w:webHidden/>
              </w:rPr>
              <w:tab/>
            </w:r>
            <w:r>
              <w:fldChar w:fldCharType="begin"/>
            </w:r>
            <w:r>
              <w:instrText xml:space="preserve"> PAGEREF _Toc000000012 \h </w:instrText>
            </w:r>
            <w:r>
              <w:rPr>
                <w:noProof/>
                <w:webHidden/>
              </w:rPr>
              <w:fldChar w:fldCharType="separate"/>
            </w:r>
            <w:r>
              <w:rPr>
                <w:noProof/>
                <w:webHidden/>
                <w:rtl/>
              </w:rPr>
              <w:t>1</w:t>
            </w:r>
            <w:r>
              <w:rPr>
                <w:noProof/>
                <w:webHidden/>
              </w:rPr>
              <w:fldChar w:fldCharType="end"/>
            </w:r>
          </w:hyperlink>
        </w:p>
        <w:p>
          <w:pPr>
            <w:pStyle w:val="TOC2"/>
          </w:pPr>
          <w:hyperlink w:anchor="_Toc000000013" w:history="1">
            <w:r>
              <w:rPr>
                <w:rStyle w:val="Hyperlink"/>
                <w:rFonts w:ascii="Dubai" w:hAnsi="Dubai" w:cs="Dubai"/>
                <w:noProof/>
                <w:rtl/>
              </w:rPr>
              <w:t>3.5  أبرز الاستفسارات المتكررة (4 حالات — 8.0%) — وهي الفئة الأكثر قابليةً للتحويل إلى خدمة ذاتية رقمية كاملة</w:t>
            </w:r>
            <w:r>
              <w:rPr>
                <w:noProof/>
                <w:webHidden/>
              </w:rPr>
              <w:tab/>
            </w:r>
            <w:r>
              <w:fldChar w:fldCharType="begin"/>
            </w:r>
            <w:r>
              <w:instrText xml:space="preserve"> PAGEREF _Toc000000013 \h </w:instrText>
            </w:r>
            <w:r>
              <w:rPr>
                <w:noProof/>
                <w:webHidden/>
              </w:rPr>
              <w:fldChar w:fldCharType="separate"/>
            </w:r>
            <w:r>
              <w:rPr>
                <w:noProof/>
                <w:webHidden/>
                <w:rtl/>
              </w:rPr>
              <w:t>1</w:t>
            </w:r>
            <w:r>
              <w:rPr>
                <w:noProof/>
                <w:webHidden/>
              </w:rPr>
              <w:fldChar w:fldCharType="end"/>
            </w:r>
          </w:hyperlink>
        </w:p>
        <w:p>
          <w:pPr>
            <w:pStyle w:val="TOC1"/>
          </w:pPr>
          <w:hyperlink w:anchor="_Toc000000014" w:history="1">
            <w:r>
              <w:rPr>
                <w:rStyle w:val="Hyperlink"/>
                <w:rFonts w:ascii="Dubai" w:hAnsi="Dubai" w:cs="Dubai"/>
                <w:noProof/>
                <w:rtl/>
              </w:rPr>
              <w:t>رابعاً: التحليل الثاني — التحديات في رحلة المتعامل</w:t>
            </w:r>
            <w:r>
              <w:rPr>
                <w:noProof/>
                <w:webHidden/>
              </w:rPr>
              <w:tab/>
            </w:r>
            <w:r>
              <w:fldChar w:fldCharType="begin"/>
            </w:r>
            <w:r>
              <w:instrText xml:space="preserve"> PAGEREF _Toc000000014 \h </w:instrText>
            </w:r>
            <w:r>
              <w:rPr>
                <w:noProof/>
                <w:webHidden/>
              </w:rPr>
              <w:fldChar w:fldCharType="separate"/>
            </w:r>
            <w:r>
              <w:rPr>
                <w:noProof/>
                <w:webHidden/>
                <w:rtl/>
              </w:rPr>
              <w:t>1</w:t>
            </w:r>
            <w:r>
              <w:rPr>
                <w:noProof/>
                <w:webHidden/>
              </w:rPr>
              <w:fldChar w:fldCharType="end"/>
            </w:r>
          </w:hyperlink>
        </w:p>
        <w:p>
          <w:pPr>
            <w:pStyle w:val="TOC1"/>
          </w:pPr>
          <w:hyperlink w:anchor="_Toc000000015" w:history="1">
            <w:r>
              <w:rPr>
                <w:rStyle w:val="Hyperlink"/>
                <w:rFonts w:ascii="Dubai" w:hAnsi="Dubai" w:cs="Dubai"/>
                <w:noProof/>
                <w:rtl/>
              </w:rPr>
              <w:t>خامساً: التحليل الثالث — تحليل الفجوات الرقمية</w:t>
            </w:r>
            <w:r>
              <w:rPr>
                <w:noProof/>
                <w:webHidden/>
              </w:rPr>
              <w:tab/>
            </w:r>
            <w:r>
              <w:fldChar w:fldCharType="begin"/>
            </w:r>
            <w:r>
              <w:instrText xml:space="preserve"> PAGEREF _Toc000000015 \h </w:instrText>
            </w:r>
            <w:r>
              <w:rPr>
                <w:noProof/>
                <w:webHidden/>
              </w:rPr>
              <w:fldChar w:fldCharType="separate"/>
            </w:r>
            <w:r>
              <w:rPr>
                <w:noProof/>
                <w:webHidden/>
                <w:rtl/>
              </w:rPr>
              <w:t>1</w:t>
            </w:r>
            <w:r>
              <w:rPr>
                <w:noProof/>
                <w:webHidden/>
              </w:rPr>
              <w:fldChar w:fldCharType="end"/>
            </w:r>
          </w:hyperlink>
        </w:p>
        <w:p>
          <w:pPr>
            <w:pStyle w:val="TOC2"/>
          </w:pPr>
          <w:hyperlink w:anchor="_Toc000000016" w:history="1">
            <w:r>
              <w:rPr>
                <w:rStyle w:val="Hyperlink"/>
                <w:rFonts w:ascii="Dubai" w:hAnsi="Dubai" w:cs="Dubai"/>
                <w:noProof/>
                <w:rtl/>
              </w:rPr>
              <w:t>5.1  جدول الفجوات المُدمج</w:t>
            </w:r>
            <w:r>
              <w:rPr>
                <w:noProof/>
                <w:webHidden/>
              </w:rPr>
              <w:tab/>
            </w:r>
            <w:r>
              <w:fldChar w:fldCharType="begin"/>
            </w:r>
            <w:r>
              <w:instrText xml:space="preserve"> PAGEREF _Toc000000016 \h </w:instrText>
            </w:r>
            <w:r>
              <w:rPr>
                <w:noProof/>
                <w:webHidden/>
              </w:rPr>
              <w:fldChar w:fldCharType="separate"/>
            </w:r>
            <w:r>
              <w:rPr>
                <w:noProof/>
                <w:webHidden/>
                <w:rtl/>
              </w:rPr>
              <w:t>1</w:t>
            </w:r>
            <w:r>
              <w:rPr>
                <w:noProof/>
                <w:webHidden/>
              </w:rPr>
              <w:fldChar w:fldCharType="end"/>
            </w:r>
          </w:hyperlink>
        </w:p>
        <w:p>
          <w:pPr>
            <w:pStyle w:val="TOC2"/>
          </w:pPr>
          <w:hyperlink w:anchor="_Toc000000017" w:history="1">
            <w:r>
              <w:rPr>
                <w:rStyle w:val="Hyperlink"/>
                <w:rFonts w:ascii="Dubai" w:hAnsi="Dubai" w:cs="Dubai"/>
                <w:noProof/>
                <w:rtl/>
              </w:rPr>
              <w:t>5.2  الأسباب الجذرية لاستمرار المشكلات</w:t>
            </w:r>
            <w:r>
              <w:rPr>
                <w:noProof/>
                <w:webHidden/>
              </w:rPr>
              <w:tab/>
            </w:r>
            <w:r>
              <w:fldChar w:fldCharType="begin"/>
            </w:r>
            <w:r>
              <w:instrText xml:space="preserve"> PAGEREF _Toc000000017 \h </w:instrText>
            </w:r>
            <w:r>
              <w:rPr>
                <w:noProof/>
                <w:webHidden/>
              </w:rPr>
              <w:fldChar w:fldCharType="separate"/>
            </w:r>
            <w:r>
              <w:rPr>
                <w:noProof/>
                <w:webHidden/>
                <w:rtl/>
              </w:rPr>
              <w:t>1</w:t>
            </w:r>
            <w:r>
              <w:rPr>
                <w:noProof/>
                <w:webHidden/>
              </w:rPr>
              <w:fldChar w:fldCharType="end"/>
            </w:r>
          </w:hyperlink>
        </w:p>
        <w:p>
          <w:pPr>
            <w:pStyle w:val="TOC1"/>
          </w:pPr>
          <w:hyperlink w:anchor="_Toc000000018" w:history="1">
            <w:r>
              <w:rPr>
                <w:rStyle w:val="Hyperlink"/>
                <w:rFonts w:ascii="Dubai" w:hAnsi="Dubai" w:cs="Dubai"/>
                <w:noProof/>
                <w:rtl/>
              </w:rPr>
              <w:t>سادساً: التحليل الرابع — خطة التحويل الرقمي</w:t>
            </w:r>
            <w:r>
              <w:rPr>
                <w:noProof/>
                <w:webHidden/>
              </w:rPr>
              <w:tab/>
            </w:r>
            <w:r>
              <w:fldChar w:fldCharType="begin"/>
            </w:r>
            <w:r>
              <w:instrText xml:space="preserve"> PAGEREF _Toc000000018 \h </w:instrText>
            </w:r>
            <w:r>
              <w:rPr>
                <w:noProof/>
                <w:webHidden/>
              </w:rPr>
              <w:fldChar w:fldCharType="separate"/>
            </w:r>
            <w:r>
              <w:rPr>
                <w:noProof/>
                <w:webHidden/>
                <w:rtl/>
              </w:rPr>
              <w:t>1</w:t>
            </w:r>
            <w:r>
              <w:rPr>
                <w:noProof/>
                <w:webHidden/>
              </w:rPr>
              <w:fldChar w:fldCharType="end"/>
            </w:r>
          </w:hyperlink>
        </w:p>
        <w:p>
          <w:pPr>
            <w:pStyle w:val="TOC2"/>
          </w:pPr>
          <w:hyperlink w:anchor="_Toc000000019" w:history="1">
            <w:r>
              <w:rPr>
                <w:rStyle w:val="Hyperlink"/>
                <w:rFonts w:ascii="Dubai" w:hAnsi="Dubai" w:cs="Dubai"/>
                <w:noProof/>
                <w:rtl/>
              </w:rPr>
              <w:t>6.1  الأسئلة الشائعة ذات الأولوية</w:t>
            </w:r>
            <w:r>
              <w:rPr>
                <w:noProof/>
                <w:webHidden/>
              </w:rPr>
              <w:tab/>
            </w:r>
            <w:r>
              <w:fldChar w:fldCharType="begin"/>
            </w:r>
            <w:r>
              <w:instrText xml:space="preserve"> PAGEREF _Toc000000019 \h </w:instrText>
            </w:r>
            <w:r>
              <w:rPr>
                <w:noProof/>
                <w:webHidden/>
              </w:rPr>
              <w:fldChar w:fldCharType="separate"/>
            </w:r>
            <w:r>
              <w:rPr>
                <w:noProof/>
                <w:webHidden/>
                <w:rtl/>
              </w:rPr>
              <w:t>1</w:t>
            </w:r>
            <w:r>
              <w:rPr>
                <w:noProof/>
                <w:webHidden/>
              </w:rPr>
              <w:fldChar w:fldCharType="end"/>
            </w:r>
          </w:hyperlink>
        </w:p>
        <w:p>
          <w:pPr>
            <w:pStyle w:val="TOC2"/>
          </w:pPr>
          <w:hyperlink w:anchor="_Toc000000020" w:history="1">
            <w:r>
              <w:rPr>
                <w:rStyle w:val="Hyperlink"/>
                <w:rFonts w:ascii="Dubai" w:hAnsi="Dubai" w:cs="Dubai"/>
                <w:noProof/>
                <w:rtl/>
              </w:rPr>
              <w:t>6.2  مسار إلغاء 4+ حالة تواصل بالإشعار الاستباقي</w:t>
            </w:r>
            <w:r>
              <w:rPr>
                <w:noProof/>
                <w:webHidden/>
              </w:rPr>
              <w:tab/>
            </w:r>
            <w:r>
              <w:fldChar w:fldCharType="begin"/>
            </w:r>
            <w:r>
              <w:instrText xml:space="preserve"> PAGEREF _Toc000000020 \h </w:instrText>
            </w:r>
            <w:r>
              <w:rPr>
                <w:noProof/>
                <w:webHidden/>
              </w:rPr>
              <w:fldChar w:fldCharType="separate"/>
            </w:r>
            <w:r>
              <w:rPr>
                <w:noProof/>
                <w:webHidden/>
                <w:rtl/>
              </w:rPr>
              <w:t>1</w:t>
            </w:r>
            <w:r>
              <w:rPr>
                <w:noProof/>
                <w:webHidden/>
              </w:rPr>
              <w:fldChar w:fldCharType="end"/>
            </w:r>
          </w:hyperlink>
        </w:p>
        <w:p>
          <w:pPr>
            <w:pStyle w:val="TOC1"/>
          </w:pPr>
          <w:hyperlink w:anchor="_Toc000000021" w:history="1">
            <w:r>
              <w:rPr>
                <w:rStyle w:val="Hyperlink"/>
                <w:rFonts w:ascii="Dubai" w:hAnsi="Dubai" w:cs="Dubai"/>
                <w:noProof/>
                <w:rtl/>
              </w:rPr>
              <w:t>سابعاً: حالات الاستخدام المدعومة بالذكاء الاصطناعي</w:t>
            </w:r>
            <w:r>
              <w:rPr>
                <w:noProof/>
                <w:webHidden/>
              </w:rPr>
              <w:tab/>
            </w:r>
            <w:r>
              <w:fldChar w:fldCharType="begin"/>
            </w:r>
            <w:r>
              <w:instrText xml:space="preserve"> PAGEREF _Toc000000021 \h </w:instrText>
            </w:r>
            <w:r>
              <w:rPr>
                <w:noProof/>
                <w:webHidden/>
              </w:rPr>
              <w:fldChar w:fldCharType="separate"/>
            </w:r>
            <w:r>
              <w:rPr>
                <w:noProof/>
                <w:webHidden/>
                <w:rtl/>
              </w:rPr>
              <w:t>1</w:t>
            </w:r>
            <w:r>
              <w:rPr>
                <w:noProof/>
                <w:webHidden/>
              </w:rPr>
              <w:fldChar w:fldCharType="end"/>
            </w:r>
          </w:hyperlink>
        </w:p>
        <w:p>
          <w:pPr>
            <w:pStyle w:val="TOC1"/>
          </w:pPr>
          <w:hyperlink w:anchor="_Toc000000022" w:history="1">
            <w:r>
              <w:rPr>
                <w:rStyle w:val="Hyperlink"/>
                <w:rFonts w:ascii="Dubai" w:hAnsi="Dubai" w:cs="Dubai"/>
                <w:noProof/>
                <w:rtl/>
              </w:rPr>
              <w:t>ثامناً: خارطة الطريق التحسينية المقترحة</w:t>
            </w:r>
            <w:r>
              <w:rPr>
                <w:noProof/>
                <w:webHidden/>
              </w:rPr>
              <w:tab/>
            </w:r>
            <w:r>
              <w:fldChar w:fldCharType="begin"/>
            </w:r>
            <w:r>
              <w:instrText xml:space="preserve"> PAGEREF _Toc000000022 \h </w:instrText>
            </w:r>
            <w:r>
              <w:rPr>
                <w:noProof/>
                <w:webHidden/>
              </w:rPr>
              <w:fldChar w:fldCharType="separate"/>
            </w:r>
            <w:r>
              <w:rPr>
                <w:noProof/>
                <w:webHidden/>
                <w:rtl/>
              </w:rPr>
              <w:t>1</w:t>
            </w:r>
            <w:r>
              <w:rPr>
                <w:noProof/>
                <w:webHidden/>
              </w:rPr>
              <w:fldChar w:fldCharType="end"/>
            </w:r>
          </w:hyperlink>
        </w:p>
        <w:p>
          <w:pPr>
            <w:pStyle w:val="TOC1"/>
          </w:pPr>
          <w:hyperlink w:anchor="_Toc000000023" w:history="1">
            <w:r>
              <w:rPr>
                <w:rStyle w:val="Hyperlink"/>
                <w:rFonts w:ascii="Dubai" w:hAnsi="Dubai" w:cs="Dubai"/>
                <w:noProof/>
                <w:rtl/>
              </w:rPr>
              <w:t>تاسعاً: الخلاصة — من البيانات إلى القرار</w:t>
            </w:r>
            <w:r>
              <w:rPr>
                <w:noProof/>
                <w:webHidden/>
              </w:rPr>
              <w:tab/>
            </w:r>
            <w:r>
              <w:fldChar w:fldCharType="begin"/>
            </w:r>
            <w:r>
              <w:instrText xml:space="preserve"> PAGEREF _Toc000000023 \h </w:instrText>
            </w:r>
            <w:r>
              <w:rPr>
                <w:noProof/>
                <w:webHidden/>
              </w:rPr>
              <w:fldChar w:fldCharType="separate"/>
            </w:r>
            <w:r>
              <w:rPr>
                <w:noProof/>
                <w:webHidden/>
                <w:rtl/>
              </w:rPr>
              <w:t>1</w:t>
            </w:r>
            <w:r>
              <w:rPr>
                <w:noProof/>
                <w:webHidden/>
              </w:rPr>
              <w:fldChar w:fldCharType="end"/>
            </w:r>
          </w:hyperlink>
        </w:p>
        <w:p>
          <w:pPr>
            <w:pStyle w:val="TOC2"/>
          </w:pPr>
          <w:hyperlink w:anchor="_Toc000000024" w:history="1">
            <w:r>
              <w:rPr>
                <w:rStyle w:val="Hyperlink"/>
                <w:rFonts w:ascii="Dubai" w:hAnsi="Dubai" w:cs="Dubai"/>
                <w:noProof/>
                <w:rtl/>
              </w:rPr>
              <w:t>المحاور الثلاثة للتحول</w:t>
            </w:r>
            <w:r>
              <w:rPr>
                <w:noProof/>
                <w:webHidden/>
              </w:rPr>
              <w:tab/>
            </w:r>
            <w:r>
              <w:fldChar w:fldCharType="begin"/>
            </w:r>
            <w:r>
              <w:instrText xml:space="preserve"> PAGEREF _Toc000000024 \h </w:instrText>
            </w:r>
            <w:r>
              <w:rPr>
                <w:noProof/>
                <w:webHidden/>
              </w:rPr>
              <w:fldChar w:fldCharType="separate"/>
            </w:r>
            <w:r>
              <w:rPr>
                <w:noProof/>
                <w:webHidden/>
                <w:rtl/>
              </w:rPr>
              <w:t>1</w:t>
            </w:r>
            <w:r>
              <w:rPr>
                <w:noProof/>
                <w:webHidden/>
              </w:rPr>
              <w:fldChar w:fldCharType="end"/>
            </w:r>
          </w:hyperlink>
        </w:p>
        <w:p>
          <w:pPr>
            <w:pStyle w:val="TOC2"/>
          </w:pPr>
          <w:hyperlink w:anchor="_Toc000000025" w:history="1">
            <w:r>
              <w:rPr>
                <w:rStyle w:val="Hyperlink"/>
                <w:rFonts w:ascii="Dubai" w:hAnsi="Dubai" w:cs="Dubai"/>
                <w:noProof/>
                <w:rtl/>
              </w:rPr>
              <w:t>الأثر المجمّع المتوقع:</w:t>
            </w:r>
            <w:r>
              <w:rPr>
                <w:noProof/>
                <w:webHidden/>
              </w:rPr>
              <w:tab/>
            </w:r>
            <w:r>
              <w:fldChar w:fldCharType="begin"/>
            </w:r>
            <w:r>
              <w:instrText xml:space="preserve"> PAGEREF _Toc000000025 \h </w:instrText>
            </w:r>
            <w:r>
              <w:rPr>
                <w:noProof/>
                <w:webHidden/>
              </w:rPr>
              <w:fldChar w:fldCharType="separate"/>
            </w:r>
            <w:r>
              <w:rPr>
                <w:noProof/>
                <w:webHidden/>
                <w:rtl/>
              </w:rPr>
              <w:t>1</w:t>
            </w:r>
            <w:r>
              <w:rPr>
                <w:noProof/>
                <w:webHidden/>
              </w:rPr>
              <w:fldChar w:fldCharType="end"/>
            </w:r>
          </w:hyperlink>
          <w:r>
            <w:fldChar w:fldCharType="end"/>
          </w:r>
        </w:p>
      </w:sdtContent>
    </w:sdt>
    <w:p>
      <w:r>
        <w:br w:type="page"/>
      </w:r>
    </w:p>
    <w:p>
      <w:pPr>
        <w:bidi w:val="1"/>
        <w:pStyle w:val="Heading1"/>
        <w:jc w:val="left"/>
      </w:pPr>
      <w:r>
        <w:rPr>
          <w:rFonts w:ascii="Dubai" w:hAnsi="Dubai" w:eastAsia="Dubai" w:cs="Dubai"/>
          <w:b/>
          <w:color w:val="B68A35"/>
          <w:sz w:val="32"/>
          <w:szCs w:val="32"/>
          <w:rtl/>
        </w:rPr>
        <w:t>أولاً: الملخص التنفيذي — التحليلات الرئيسية</w:t>
      </w:r>
      <w:bookmarkStart w:id="2" w:name="_Toc000000002"/>
      <w:bookmarkEnd w:id="2"/>
    </w:p>
    <w:p>
      <w:pPr>
        <w:bidi w:val="1"/>
        <w:spacing w:after="120"/>
        <w:jc w:val="both"/>
      </w:pPr>
      <w:r>
        <w:rPr>
          <w:rFonts w:ascii="Dubai" w:hAnsi="Dubai" w:eastAsia="Dubai" w:cs="Dubai"/>
          <w:b w:val="0"/>
          <w:i w:val="0"/>
          <w:color w:val="000000"/>
          <w:sz w:val="24"/>
          <w:szCs w:val="24"/>
          <w:u w:val="none"/>
          <w:rtl/>
        </w:rPr>
        <w:t>يُقدّم هذا التقرير تحليلاً معمّقاً لـ 50 حالة استفسار مستخرجة من «تصدير نظام إدارة علاقات العملاء»، مُقارَنةً بـ «دليل الخدمات والأسئلة الشائعة»، وتغطي الفترة الممتدة من يناير إلى ديسمبر 2025، بهدف تحويل البيانات الخام إلى قرارات تشغيلية قابلة للتنفيذ لا مجرد أرقام وصفية. المُستجد الجوهري: 92.0% من الحالات كانت مُصنَّفة تصنيفاً خاطئاً في النظام، وعند تصحيح هذا الخلل تبيّن أن الشكاوى تستحوذ فعلياً على 60.0% من إجمالي عبء العمل، مما يعني أن المنظومة كانت تُدار بصورة مغلوطة عن طبيعة احتياجات المتعاملين.</w:t>
      </w:r>
    </w:p>
    <w:p>
      <w:pPr>
        <w:bidi w:val="1"/>
        <w:pStyle w:val="Heading2"/>
        <w:jc w:val="left"/>
      </w:pPr>
      <w:r>
        <w:rPr>
          <w:rFonts w:ascii="Dubai" w:hAnsi="Dubai" w:eastAsia="Dubai" w:cs="Dubai"/>
          <w:b/>
          <w:color w:val="B68A35"/>
          <w:sz w:val="26"/>
          <w:szCs w:val="26"/>
          <w:rtl/>
        </w:rPr>
        <w:t>النتائج الرئيسية</w:t>
      </w:r>
      <w:bookmarkStart w:id="3" w:name="_Toc000000003"/>
      <w:bookmarkEnd w:id="3"/>
    </w:p>
    <w:p>
      <w:pPr>
        <w:bidi w:val="1"/>
        <w:spacing w:after="120"/>
        <w:jc w:val="both"/>
      </w:pPr>
      <w:r>
        <w:rPr>
          <w:rFonts w:ascii="Dubai" w:hAnsi="Dubai" w:eastAsia="Dubai" w:cs="Dubai"/>
          <w:b w:val="0"/>
          <w:i w:val="0"/>
          <w:color w:val="000000"/>
          <w:sz w:val="24"/>
          <w:szCs w:val="24"/>
          <w:u w:val="none"/>
          <w:rtl/>
        </w:rPr>
        <w:t>الرسالة الجوهرية: إن اجتماع خللَي التصنيف الخاطئ بنسبة 92.0% مع 8 نقاط احتكاك هيكلية موزّعة على 50 حالة يكشف أن المشكلة الحقيقية ليست في أداء الفريق التشغيلي الذي أثبت كفاءته بمعدل إغلاق بلغ 98.0%، بل في البنية المعلوماتية والرقمية التي تُغذّي هذا الفريق وتوجّه قراراته. معالجة هذه الفجوات — لا سيما إطلاق قنوات رقمية للاعتراض على المخالفات وتفعيل الإشعارات الاستباقية التي تمسّ 11 حالة مباشرة — ستُحوّل 30 شكوى قائمة من أعباء تفاعلية إلى فرص لبناء ثقة المتعامل. تُشكّل نتائج هذا التقرير ركيزةً لاستراتيجية تجربة متعاملين مبنيّة على البيانات، تنقل المنظومة من الاستجابة إلى الاستباق.</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مستوى الأهمية</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الاكتشاف</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كانت 46 من 50 حالة مُصنَّفة أصلاً بشكل غير صحيح. تمثل هذه الفجوة أساس التحديات التشغيلية المُكتشفة في هذا التحليل.</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تصنيف غير دقيق بنسبة 92.0%</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30 حالة من 50 كانت شكاوى بعد إعادة التصنيف. . هذا التركيز يعكس محور التحسين الأساسي للعمليات.</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الشكاوى تهيمن بـ 60.0% على عبء العمل</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تؤثر هذه النقطة على 11 حالة (22.0% من الإجمالي). السبب الجذري: خلل تقني في المنصة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نقطة احتكاك واحدة: صورة المركبة في إشعار المخالفة تُظهر مركبة مختلفة أو لوحة غير صحيحة، أو تسجيل مخالفة على متعامل لم يكن في الفجيرة (11 حالة، 22.0%)</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تشترك 3 نقاط احتكاك في سبب جذري مشترك: عدم استلام ملكية المركبة أو رخصة القيادة بعد السداد دون وجود إشعار تتبع أو تسليم, عدم وضوح حالة طلب تجديد الرخصة أو تسجيل المركبة المقدم مسبقاً دون أي إشعار بالتحديث, بقاء طلبات تصريح السلاح معلّقة لأشهر دون إشعار بحالة الطلب أو أي تحديث للمتعامل. إجمالي الحالات المتأثرة: 11 حالة. تحسين هذه المجموعة سيسهم بشكل كبير في تقليل الاحتكاكات.</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 نقاط احتكاك — غياب الإشعار الاستباقي (11 حالة)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إيجابية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تم إغلاق 49 من 50 حالة في الوقت المحدد (معدل 98.0%). هذا يثبت القدرة التشغيلية، لكنه لا يعالج الفجوات الهيكلية في الدقة والفهم.</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98.0% إغلاق في الوقت المحدد</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r>
    </w:tbl>
    <w:p/>
    <w:p>
      <w:pPr>
        <w:bidi w:val="1"/>
        <w:pStyle w:val="Heading1"/>
        <w:jc w:val="left"/>
      </w:pPr>
      <w:r>
        <w:rPr>
          <w:rFonts w:ascii="Dubai" w:hAnsi="Dubai" w:eastAsia="Dubai" w:cs="Dubai"/>
          <w:b/>
          <w:color w:val="B68A35"/>
          <w:sz w:val="32"/>
          <w:szCs w:val="32"/>
          <w:rtl/>
        </w:rPr>
        <w:t>ثانياً: المنهجية وطبيعة المصادر</w:t>
      </w:r>
      <w:bookmarkStart w:id="4" w:name="_Toc000000004"/>
      <w:bookmarkEnd w:id="4"/>
    </w:p>
    <w:p>
      <w:pPr>
        <w:bidi w:val="1"/>
        <w:pStyle w:val="Heading2"/>
        <w:jc w:val="left"/>
      </w:pPr>
      <w:r>
        <w:rPr>
          <w:rFonts w:ascii="Dubai" w:hAnsi="Dubai" w:eastAsia="Dubai" w:cs="Dubai"/>
          <w:b/>
          <w:color w:val="B68A35"/>
          <w:sz w:val="26"/>
          <w:szCs w:val="26"/>
          <w:rtl/>
        </w:rPr>
        <w:t>2.1  المصادر المُحلَّلة</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الفترة</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الحجم</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الطبيعة</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المصدر</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يناير - ديسمبر 2025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49 حالة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بيانات CRM — نصوص غير مهيكلة (تفاصيل الحالة، الحلول، أسماء الخدمات، وصف الحالة)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تحليل الاستفسارات</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2025</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160 صفحة، 8 أسئلة مصدقة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يغطي خدمات المرور والترخيص, الخدمات الشرطية, خدمات المؤسسة العقابية والإصلاحية, إدارة العمليات, الخدمات الاستباقية, and 2 more، مع التحقق من الأسئلة الشائعة وتحليل الفجوات</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دليل خدمات العملاء</w:t>
            </w:r>
          </w:p>
        </w:tc>
      </w:tr>
    </w:tbl>
    <w:p/>
    <w:p>
      <w:pPr>
        <w:bidi w:val="1"/>
        <w:pStyle w:val="Heading2"/>
        <w:jc w:val="left"/>
      </w:pPr>
      <w:r>
        <w:rPr>
          <w:rFonts w:ascii="Dubai" w:hAnsi="Dubai" w:eastAsia="Dubai" w:cs="Dubai"/>
          <w:b/>
          <w:color w:val="B68A35"/>
          <w:sz w:val="26"/>
          <w:szCs w:val="26"/>
          <w:rtl/>
        </w:rPr>
        <w:t>2.2  منهجية التصنيف</w:t>
      </w:r>
      <w:bookmarkStart w:id="6" w:name="_Toc000000006"/>
      <w:bookmarkEnd w:id="6"/>
    </w:p>
    <w:p>
      <w:pPr>
        <w:bidi w:val="1"/>
        <w:spacing w:after="120"/>
        <w:jc w:val="both"/>
      </w:pPr>
      <w:r>
        <w:rPr>
          <w:rFonts w:ascii="Dubai" w:hAnsi="Dubai" w:eastAsia="Dubai" w:cs="Dubai"/>
          <w:b w:val="0"/>
          <w:i w:val="0"/>
          <w:color w:val="000000"/>
          <w:sz w:val="24"/>
          <w:szCs w:val="24"/>
          <w:u w:val="none"/>
          <w:rtl/>
        </w:rPr>
        <w:t>يعتمد التحليل على شجرة قرار من أربعة مستويات، حيث طبيعة المطلوب وليس الصياغة هي المعيار الفاصل. يُطرح على كل حالة اختباران متتاليان:</w:t>
      </w:r>
    </w:p>
    <w:p>
      <w:pPr>
        <w:bidi w:val="1"/>
        <w:spacing w:after="120"/>
        <w:jc w:val="both"/>
      </w:pPr>
      <w:r>
        <w:rPr>
          <w:rFonts w:ascii="Dubai" w:hAnsi="Dubai" w:eastAsia="Dubai" w:cs="Dubai"/>
          <w:b w:val="0"/>
          <w:i w:val="0"/>
          <w:color w:val="000000"/>
          <w:sz w:val="24"/>
          <w:szCs w:val="24"/>
          <w:u w:val="none"/>
          <w:rtl/>
        </w:rPr>
        <w:t>(1) الاختبار الأول: هل يُعبّر النص عن استياء، أو إبلاغ عن إخفاق، أو رغبة في تقديم بلاغ رسمي أو اعتراض؟</w:t>
      </w:r>
    </w:p>
    <w:p>
      <w:pPr>
        <w:bidi w:val="1"/>
        <w:spacing w:after="120"/>
        <w:jc w:val="both"/>
      </w:pPr>
      <w:r>
        <w:rPr>
          <w:rFonts w:ascii="Dubai" w:hAnsi="Dubai" w:eastAsia="Dubai" w:cs="Dubai"/>
          <w:b w:val="0"/>
          <w:i w:val="0"/>
          <w:color w:val="000000"/>
          <w:sz w:val="24"/>
          <w:szCs w:val="24"/>
          <w:u w:val="none"/>
          <w:rtl/>
        </w:rPr>
        <w:t>(2) الاختبار الثاني: هل يطلب النص تنفيذ إجراء محدد كتقديم خدمة أو متابعة طلب أو تعديل بيانات، وليس مجرد الحصول على معلومة؟</w:t>
      </w:r>
    </w:p>
    <w:p>
      <w:pPr>
        <w:bidi w:val="1"/>
        <w:spacing w:after="120"/>
        <w:jc w:val="both"/>
      </w:pPr>
      <w:r>
        <w:rPr>
          <w:rFonts w:ascii="Dubai" w:hAnsi="Dubai" w:eastAsia="Dubai" w:cs="Dubai"/>
          <w:b w:val="0"/>
          <w:i w:val="0"/>
          <w:color w:val="000000"/>
          <w:sz w:val="24"/>
          <w:szCs w:val="24"/>
          <w:u w:val="none"/>
          <w:rtl/>
        </w:rPr>
        <w:t>قواعد التصنيف:</w:t>
      </w:r>
    </w:p>
    <w:p>
      <w:pPr>
        <w:bidi w:val="1"/>
        <w:spacing w:after="120"/>
        <w:jc w:val="both"/>
      </w:pPr>
      <w:r>
        <w:rPr>
          <w:rFonts w:ascii="Dubai" w:hAnsi="Dubai" w:eastAsia="Dubai" w:cs="Dubai"/>
          <w:b w:val="0"/>
          <w:i w:val="0"/>
          <w:color w:val="000000"/>
          <w:sz w:val="24"/>
          <w:szCs w:val="24"/>
          <w:u w:val="none"/>
          <w:rtl/>
        </w:rPr>
        <w:t>→ إن كان الجواب نعم على الأول: شكوى (حتى لو تضمّن النص طلباً لاتخاذ إجراء)؛</w:t>
      </w:r>
    </w:p>
    <w:p>
      <w:pPr>
        <w:bidi w:val="1"/>
        <w:spacing w:after="120"/>
        <w:jc w:val="both"/>
      </w:pPr>
      <w:r>
        <w:rPr>
          <w:rFonts w:ascii="Dubai" w:hAnsi="Dubai" w:eastAsia="Dubai" w:cs="Dubai"/>
          <w:b w:val="0"/>
          <w:i w:val="0"/>
          <w:color w:val="000000"/>
          <w:sz w:val="24"/>
          <w:szCs w:val="24"/>
          <w:u w:val="none"/>
          <w:rtl/>
        </w:rPr>
        <w:t>→ إن كان الجواب نعم على الثاني فقط: طلب (دون أن يكون الغرض إبلاغاً عن مشكلة)؛</w:t>
      </w:r>
    </w:p>
    <w:p>
      <w:pPr>
        <w:bidi w:val="1"/>
        <w:spacing w:after="120"/>
        <w:jc w:val="both"/>
      </w:pPr>
      <w:r>
        <w:rPr>
          <w:rFonts w:ascii="Dubai" w:hAnsi="Dubai" w:eastAsia="Dubai" w:cs="Dubai"/>
          <w:b w:val="0"/>
          <w:i w:val="0"/>
          <w:color w:val="000000"/>
          <w:sz w:val="24"/>
          <w:szCs w:val="24"/>
          <w:u w:val="none"/>
          <w:rtl/>
        </w:rPr>
        <w:t>→ إن كان الغرض سؤالاً أو استعلاماً عن معلومة: استفسار؛</w:t>
      </w:r>
    </w:p>
    <w:p>
      <w:pPr>
        <w:bidi w:val="1"/>
        <w:spacing w:after="120"/>
        <w:jc w:val="both"/>
      </w:pPr>
      <w:r>
        <w:rPr>
          <w:rFonts w:ascii="Dubai" w:hAnsi="Dubai" w:eastAsia="Dubai" w:cs="Dubai"/>
          <w:b w:val="0"/>
          <w:i w:val="0"/>
          <w:color w:val="000000"/>
          <w:sz w:val="24"/>
          <w:szCs w:val="24"/>
          <w:u w:val="none"/>
          <w:rtl/>
        </w:rPr>
        <w:t>→ إن كان التعبير عن رضا وثناء: شكر وثناء.</w:t>
      </w:r>
    </w:p>
    <w:p>
      <w:pPr>
        <w:bidi w:val="1"/>
        <w:pStyle w:val="Heading2"/>
        <w:jc w:val="left"/>
      </w:pPr>
      <w:r>
        <w:rPr>
          <w:rFonts w:ascii="Dubai" w:hAnsi="Dubai" w:eastAsia="Dubai" w:cs="Dubai"/>
          <w:b/>
          <w:color w:val="B68A35"/>
          <w:sz w:val="26"/>
          <w:szCs w:val="26"/>
          <w:rtl/>
        </w:rPr>
        <w:t>2.3  الحقول المُحلَّلة</w:t>
      </w:r>
      <w:bookmarkStart w:id="7" w:name="_Toc000000007"/>
      <w:bookmarkEnd w:id="7"/>
    </w:p>
    <w:p>
      <w:pPr>
        <w:bidi w:val="1"/>
        <w:spacing w:after="120"/>
        <w:jc w:val="both"/>
      </w:pPr>
      <w:r>
        <w:rPr>
          <w:rFonts w:ascii="Dubai" w:hAnsi="Dubai" w:eastAsia="Dubai" w:cs="Dubai"/>
          <w:b w:val="0"/>
          <w:i w:val="0"/>
          <w:color w:val="000000"/>
          <w:sz w:val="24"/>
          <w:szCs w:val="24"/>
          <w:u w:val="none"/>
          <w:rtl/>
        </w:rPr>
        <w:t>الحقول المنظمة المستخدمة في التحليل: رقم الطلب، الخدمة الرئيسية، نوع المكالمة الأصلي، حالة الطلب، قناة التواصل، والإدارة المختصة. الحقول غير المنظمة — محور هذا التحليل: تفاصيل الطلب ورد المعالجة. هذان الحقلان يكشفان الطبيعة الحقيقية لكل حالة بعيداً عن التصنيف الشكلي في النظام.</w:t>
      </w:r>
    </w:p>
    <w:p>
      <w:pPr>
        <w:bidi w:val="1"/>
        <w:pStyle w:val="Heading1"/>
        <w:jc w:val="left"/>
      </w:pPr>
      <w:r>
        <w:rPr>
          <w:rFonts w:ascii="Dubai" w:hAnsi="Dubai" w:eastAsia="Dubai" w:cs="Dubai"/>
          <w:b/>
          <w:color w:val="B68A35"/>
          <w:sz w:val="32"/>
          <w:szCs w:val="32"/>
          <w:rtl/>
        </w:rPr>
        <w:t>ثالثاً: التحليل الأول — خريطة تصنيف الطلبات</w:t>
      </w:r>
      <w:bookmarkStart w:id="8" w:name="_Toc000000008"/>
      <w:bookmarkEnd w:id="8"/>
    </w:p>
    <w:p>
      <w:pPr>
        <w:bidi w:val="1"/>
        <w:pStyle w:val="Heading2"/>
        <w:jc w:val="left"/>
      </w:pPr>
      <w:r>
        <w:rPr>
          <w:rFonts w:ascii="Dubai" w:hAnsi="Dubai" w:eastAsia="Dubai" w:cs="Dubai"/>
          <w:b/>
          <w:color w:val="B68A35"/>
          <w:sz w:val="26"/>
          <w:szCs w:val="26"/>
          <w:rtl/>
        </w:rPr>
        <w:t>3.1  التوزيع الفعلي لأنواع التواصل</w:t>
      </w:r>
      <w:bookmarkStart w:id="9" w:name="_Toc000000009"/>
      <w:bookmarkEnd w:id="9"/>
    </w:p>
    <w:p>
      <w:pPr>
        <w:bidi w:val="1"/>
        <w:spacing w:after="120"/>
        <w:jc w:val="both"/>
      </w:pPr>
      <w:r>
        <w:rPr>
          <w:rFonts w:ascii="Dubai" w:hAnsi="Dubai" w:eastAsia="Dubai" w:cs="Dubai"/>
          <w:b w:val="0"/>
          <w:i w:val="0"/>
          <w:color w:val="000000"/>
          <w:sz w:val="24"/>
          <w:szCs w:val="24"/>
          <w:u w:val="none"/>
          <w:rtl/>
        </w:rPr>
        <w:t>تحليل 50 حالة في يناير - ديسمبر 2025 كشف أن التصنيف الدقيق للمحتوى الفعلي لكل تواصل يرسم صورةً مغايرةً تمامًا لما تعكسه بيانات نظام إدارة علاقات المتعاملين. التحوّل الجوهري: بينما كانت جميع الحالات الخمسين مسجَّلةً بوصفها «استفسارًا» قبل التصحيح، يتبيّن أن «الشكوى» هي الفئة المهيمنة الحقيقية بواقع 30 حالة تمثّل 60.0% من إجمالي التواصل، مما يُعيد تعريف طبيعة عبء العمل الفعلي ومتطلبات المعالجة.</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قابلية التحويل الرقمي</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تغيُّر التصنيف</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العدد</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نوع التواصل</w:t>
            </w:r>
          </w:p>
        </w:tc>
      </w:tr>
      <w:tr>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مسار رقمي مختص — بوابة شكاوى / تتبع بلاغ في التطبيق</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+30 (كانت صفراً في الملف الأصلي)</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60.0%</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30</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w:t>
            </w:r>
          </w:p>
        </w:tc>
      </w:tr>
      <w:tr>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يتطلب موظفاً بصلاحية النظام</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+16 (كانت صفراً في الملف الأصلي)</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32.0%</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16</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w:t>
            </w:r>
          </w:p>
        </w:tc>
      </w:tr>
      <w:tr>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تحويل كامل — روبوت محادثة / أسئلة شائعة / IVR / الموقع الإلكتروني</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−46 عن الأصلي</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8.0%</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r>
      <w:tr>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توثيق تلقائي — لا يتطلب إجراءً</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بلا تغيير</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0.0%</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0</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شكر وثناء</w:t>
            </w:r>
          </w:p>
        </w:tc>
      </w:tr>
    </w:tbl>
    <w:p/>
    <w:p>
      <w:pPr>
        <w:jc w:val="center"/>
      </w:pPr>
      <w:r>
        <w:drawing>
          <wp:inline distT="0" distB="0" distL="0" distR="0">
            <wp:extent cx="5040000" cy="3240000"/>
            <wp:effectExtent l="0" t="0" r="0" b="0"/>
            <wp:docPr id="102" name="Chart 1" descr="Chart 1"/>
            <wp:cNvGraphicFramePr>
              <a:graphicFrameLocks noChangeAspect="1"/>
            </wp:cNvGraphicFramePr>
            <a:graphic>
              <a:graphicData uri="http://schemas.openxmlformats.org/drawingml/2006/chart">
                <c:chart r:id="rId12"/>
              </a:graphicData>
            </a:graphic>
          </wp:inline>
        </w:drawing>
      </w:r>
    </w:p>
    <w:p/>
    <w:p>
      <w:pPr>
        <w:bidi w:val="1"/>
        <w:pStyle w:val="Heading2"/>
        <w:jc w:val="left"/>
      </w:pPr>
      <w:r>
        <w:rPr>
          <w:rFonts w:ascii="Dubai" w:hAnsi="Dubai" w:eastAsia="Dubai" w:cs="Dubai"/>
          <w:b/>
          <w:color w:val="B68A35"/>
          <w:sz w:val="26"/>
          <w:szCs w:val="26"/>
          <w:rtl/>
        </w:rPr>
        <w:t>3.2  دقة التصنيف — 92.0% من الحالات تم إعادة تصنيفها</w:t>
      </w:r>
      <w:bookmarkStart w:id="10" w:name="_Toc000000010"/>
      <w:bookmarkEnd w:id="10"/>
    </w:p>
    <w:p>
      <w:pPr>
        <w:bidi w:val="1"/>
        <w:spacing w:after="120"/>
        <w:jc w:val="both"/>
      </w:pPr>
      <w:r>
        <w:rPr>
          <w:rFonts w:ascii="Dubai" w:hAnsi="Dubai" w:eastAsia="Dubai" w:cs="Dubai"/>
          <w:b w:val="0"/>
          <w:i w:val="0"/>
          <w:color w:val="000000"/>
          <w:sz w:val="24"/>
          <w:szCs w:val="24"/>
          <w:u w:val="none"/>
          <w:rtl/>
        </w:rPr>
        <w:t>الاكتشاف الحرج: جميع الحالات الخمسين (50 من 50) كانت مسجَّلةً في نظام CRM تحت تصنيف «استفسار» دون تمييز لطبيعة المحتوى الفعلي، وقد أسفر التحليل التفصيلي لنصوص التواصل عن إعادة تصنيف 46 حالة بمعدل 92.0%، وهو ما لا يعكس خطأً بشريًا بل يُجسّد طبيعة آلية الإدخال في قناة الاستقبال التي تضع جميع الوارد تحت تسمية موحّدة. القائمة الكاملة لـ 46 حالة مع الأدلة متاحة في الملحق الرقمي (ملف Excel المرفق).</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الدليل من تفاصيل الطلب</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التصنيف الصحيح</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مسجَّلة كـ</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رقم الطلب</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"السلام عليكم تم تقديم بلغ بتاريخ 23 / 10 / 2025 ورقم البلغ 2228 عن تعرضي للضرب في مدرسة الديار  في مركز المدينة في الفجيرة والي يومك لم يتم علينا بحجت ان المدرسة لم تراد عليهم ولم يتم الانتهاء من البلغ وتحويله الي النيابه لتكملة البلغ"</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تقديم بلاغ أمني أو مروري</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2025287730</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"لم استلم ملكيه السياره والمشكله رقم الهاتف الخاص بي محدث ولا يتم التواصل مع رقم تلفوني ويتم التواصل برقم آخر رقم اخوي ولم استلم الملكيه السياره"</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210724</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"لم استلام الرخصه  حته هذا الوقت لقد تقدمت بشكىوه في السابق وتحدث معي احد الظباط من الفجيره وتكلام معي حول ان رقم المعامله الذي اتخالته لا ينطبق مع الرقم الشخصي وعند عدم الوصل لك. قم بريد الامارات  برجع الرخصه الي قسم المروره في الفجيره وتم تحديث البيانات وتحدث معي  احد من بريد الامارات وقالي اي غدا  مع العلم ان اخر مكلمه مع مندوب بريد الامارات كانت من اكثر 10ايام وحولت الاتصال بي خدمت العمله وتحدث معي ظبط شرطه  مرتين ولكن لمشكله لم تحل الي هذا الوقت تحدث مع بريد الامارات وقلي لي لايكمن البحث  عن الطرد خصتك لا يمكن البحث عن هذا الرقم ويرسدو رقم الشحن لا تتبع الشحن"</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211093</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"تم تجرير مخالفة سرعة في مدينة الفجيرة يوم ١/١/٢٠٢٥ مع العلم لم أكون متواجد في الفجيرة هذا اليوم وايضاً صورة المخالفة برقم لوحة سيارة غير لوحة سيارتي</w:t>
              <w:br/>
              <w:t>رقم المخالفة: 6250003094</w:t>
              <w:br/>
              <w:t>رقم لوحة سيارتي التي ١١/٧٢٧٣٩</w:t>
              <w:br/>
              <w:t>مرفق صورة الرادار"</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شكوى عن مخالفة مشكوك فيها</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212803</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"أنا جددت الليسن من خلال برنامج moi هذا وللحين ماوصلني بيكمل ٦ شهور"</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 — متابعة طلب مقدم</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213942</w:t>
            </w:r>
          </w:p>
        </w:tc>
      </w:tr>
    </w:tbl>
    <w:p/>
    <w:p>
      <w:pPr>
        <w:bidi w:val="1"/>
        <w:pStyle w:val="Heading2"/>
        <w:jc w:val="left"/>
      </w:pPr>
      <w:r>
        <w:rPr>
          <w:rFonts w:ascii="Dubai" w:hAnsi="Dubai" w:eastAsia="Dubai" w:cs="Dubai"/>
          <w:b/>
          <w:color w:val="B68A35"/>
          <w:sz w:val="26"/>
          <w:szCs w:val="26"/>
          <w:rtl/>
        </w:rPr>
        <w:t>3.3  تفصيل الشكاوى (30 حالة — 60.0%)</w:t>
      </w:r>
      <w:bookmarkStart w:id="11" w:name="_Toc000000011"/>
      <w:bookmarkEnd w:id="11"/>
    </w:p>
    <w:p>
      <w:pPr>
        <w:bidi w:val="1"/>
        <w:spacing w:after="120"/>
        <w:jc w:val="both"/>
      </w:pPr>
      <w:r>
        <w:rPr>
          <w:rFonts w:ascii="Dubai" w:hAnsi="Dubai" w:eastAsia="Dubai" w:cs="Dubai"/>
          <w:b w:val="0"/>
          <w:i w:val="0"/>
          <w:color w:val="000000"/>
          <w:sz w:val="24"/>
          <w:szCs w:val="24"/>
          <w:u w:val="none"/>
          <w:rtl/>
        </w:rPr>
        <w:t>كشف إعادة التصنيف أن الشكاوى تمثّل الفئة المهيمنة الخفيّة بواقع 30 حالة، تتمركز في منظومة المخالفات المرورية والتراخيص بصورة لافتة تستوجب المعالجة المؤسسية المنظّمة: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النسبة من الشكاوى</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رصد النظام مخالفة باسمهم أو بلوحة مركبتهم في وقت أو مكان لم يكونوا فيه، ويطلبون مراجعة صورة الرادار وإثبات الخطأ وإلغاء المخالفة.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36.7%</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عن مخالفة مشكوك فيها</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يعترضون رسميًا على مخالفات مرورية مسجَّلة في سجلاتهم يرون أنها صدرت بصورة غير مستحقة أو أن ظروف الحادثة تستوجب إعادة النظر فيها.</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20.0%</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اعتراض على مخالفة مرورية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تعرّضوا لحوادث أمنية أو مرورية وتقدّموا ببلاغات رسمية، ويتابعون مآلها ويشكون من توقّف الإجراءات دون إبلاغهم بالنتيجة.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16.7%</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تقديم بلاغ أمني أو مروري</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أنهوا إجراءات استخراج وثائق رسمية كالرخص وملكيات المركبات ولم تصلهم حتى تاريخ تواصلهم رغم مرور أسابيع على اكتمال المعاملة.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13.3%</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عن عدم استلام الخدمة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واجهوا أخطاءً في بيانات أنظمة الشرطة أو المنصات الإلكترونية أدّت إلى عدم معالجة معاملاتهم أو إيقافها بسبب تعارض في المعلومات المسجّلة.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6.7%</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على خطأ تقني أو في النظام</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 تقدّم بطلب أو معاملة رسمية وانقضت مدة طويلة دون البتّ فيها أو التواصل معه لإعلامه بمستجدات ملفه.</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3.3%</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على تأخر المعالجة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 تواصل مع الجهة أو أحد أقسامها مرات عدة ولم يتلقَّ أي رد أو متابعة، مما اضطرّه إلى تكرار تواصله عبر قناة أخرى.</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على عدم الرد</w:t>
            </w:r>
          </w:p>
        </w:tc>
      </w:tr>
    </w:tbl>
    <w:p/>
    <w:p>
      <w:pPr>
        <w:bidi w:val="1"/>
        <w:pStyle w:val="Heading2"/>
        <w:jc w:val="left"/>
      </w:pPr>
      <w:r>
        <w:rPr>
          <w:rFonts w:ascii="Dubai" w:hAnsi="Dubai" w:eastAsia="Dubai" w:cs="Dubai"/>
          <w:b/>
          <w:color w:val="B68A35"/>
          <w:sz w:val="26"/>
          <w:szCs w:val="26"/>
          <w:rtl/>
        </w:rPr>
        <w:t>3.4  تفصيل الطلبات والاستفسارات</w:t>
      </w:r>
      <w:bookmarkStart w:id="12" w:name="_Toc000000012"/>
      <w:bookmarkEnd w:id="12"/>
    </w:p>
    <w:p>
      <w:pPr>
        <w:bidi w:val="1"/>
        <w:spacing w:after="120"/>
        <w:jc w:val="both"/>
      </w:pPr>
      <w:r>
        <w:rPr>
          <w:rFonts w:ascii="Dubai" w:hAnsi="Dubai" w:eastAsia="Dubai" w:cs="Dubai"/>
          <w:b w:val="0"/>
          <w:i w:val="0"/>
          <w:color w:val="000000"/>
          <w:sz w:val="24"/>
          <w:szCs w:val="24"/>
          <w:u w:val="none"/>
          <w:rtl/>
        </w:rPr>
        <w:t>أبرز الطلبات المقدَّمة (16 حالات — 32.0%):</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يطلبون تصحيح بيانات شخصية أو تواصل مسجَّلة خطأً في الأنظمة، كرقم الهاتف أو عنوان المراسلة، مما يعيق إتمام معاملاتهم.</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31.2%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 تعديل أو تحديث بيانات</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قدّموا طلبات خدمة سابقًا عبر التطبيق أو المنصة الإلكترونية ولم يتلقّوا أي تأكيد أو تسليم حتى الآن، ويستفسرون عن وضع طلباتهم.</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25.0%</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متابعة طلب مقدم</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يتقدّمون بطلبات استخراج أو تجديد تصاريح حمل السلاح أو التراخيص ذات الصلة، ويحتاجون إلى توجيه بشأن المتطلبات والإجراءات.</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18.8%</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 تصريح سلاح أو ترخيص</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 أتمّ إجراءات تجديد رخصة قيادته أو ملكية مركبته إلكترونيًا ويتابع استلام الوثيقة المحدَّثة التي لم تصله بعد.</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 تجديد رخصة أو ملكية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 يطلب خدمة إدارية عامة من اختصاص الشرطة لا تندرج تحت تصنيف محدد، ويحتاج إلى توجيهه للقسم المختص لاستكمال إجراءاته.</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 خدمة عام</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 يسعى إلى استخراج تصريح خاص لغرض محدد يستلزم موافقة الشرطة، ويطلب الإرشاد حول متطلبات تقديم الطلب وآليات الحصول عليه.</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 تصريح خاص</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 يرغب في سداد مخالفة مرورية مسجَّلة باسمه ويواجه عقبة تقنية أو إجرائية تحول دون إتمام عملية الدفع عبر القنوات المتاحة.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 سداد مخالفة</w:t>
            </w:r>
          </w:p>
        </w:tc>
      </w:tr>
    </w:tbl>
    <w:p/>
    <w:p>
      <w:pPr>
        <w:bidi w:val="1"/>
        <w:pStyle w:val="Heading2"/>
        <w:jc w:val="left"/>
      </w:pPr>
      <w:r>
        <w:rPr>
          <w:rFonts w:ascii="Dubai" w:hAnsi="Dubai" w:eastAsia="Dubai" w:cs="Dubai"/>
          <w:b/>
          <w:color w:val="B68A35"/>
          <w:sz w:val="26"/>
          <w:szCs w:val="26"/>
          <w:rtl/>
        </w:rPr>
        <w:t>3.5  أبرز الاستفسارات المتكررة (4 حالات — 8.0%) — وهي الفئة الأكثر قابليةً للتحويل إلى خدمة ذاتية رقمية كاملة</w:t>
      </w:r>
      <w:bookmarkStart w:id="13" w:name="_Toc000000013"/>
      <w:bookmarkEnd w:id="13"/>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يستفسرون عن إجراءات أو اشتراطات تتعلق برخص القيادة أو ملكية المركبات، كالمستندات المطلوبة أو مواعيد التجديد أو رسوم الخدمة.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50.0%</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 عن الرخص والمركبات</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يستفسرون عن معلومات عامة تتعلق بخدمات شرطة الفجيرة أو قنوات التواصل أو ساعات العمل دون الإشارة إلى إشكالية بعينها.</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50.0%</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 عام</w:t>
            </w:r>
          </w:p>
        </w:tc>
      </w:tr>
    </w:tbl>
    <w:p/>
    <w:p>
      <w:pPr>
        <w:bidi w:val="1"/>
        <w:pStyle w:val="Heading1"/>
        <w:jc w:val="left"/>
      </w:pPr>
      <w:r>
        <w:rPr>
          <w:rFonts w:ascii="Dubai" w:hAnsi="Dubai" w:eastAsia="Dubai" w:cs="Dubai"/>
          <w:b/>
          <w:color w:val="B68A35"/>
          <w:sz w:val="32"/>
          <w:szCs w:val="32"/>
          <w:rtl/>
        </w:rPr>
        <w:t>رابعاً: التحليل الثاني — التحديات في رحلة المتعامل</w:t>
      </w:r>
      <w:bookmarkStart w:id="14" w:name="_Toc000000014"/>
      <w:bookmarkEnd w:id="14"/>
    </w:p>
    <w:p>
      <w:pPr>
        <w:bidi w:val="1"/>
        <w:spacing w:after="120"/>
        <w:jc w:val="both"/>
      </w:pPr>
      <w:r>
        <w:rPr>
          <w:rFonts w:ascii="Dubai" w:hAnsi="Dubai" w:eastAsia="Dubai" w:cs="Dubai"/>
          <w:b w:val="0"/>
          <w:i w:val="0"/>
          <w:color w:val="000000"/>
          <w:sz w:val="24"/>
          <w:szCs w:val="24"/>
          <w:u w:val="none"/>
          <w:rtl/>
        </w:rPr>
        <w:t>يكشف التحليل المعمّق للبيانات النصية غير المهيكلة عن 8 نقاط احتكاك رئيسية في رحلة المتعامل، كل منها ينتج عن سبب جذري محدد قابل للمعالجة: النقطة الأكثر حدة هي صورة المركبة في إشعار المخالفة تُظهر مركبة مختلفة أو لوحة غير صحيحة، أو تسجيل مخالفة على متعامل لم يكن في الفجيرة التي تؤثر على 11 حالة (22.0% من الإجمالي). ويُتاح تحقيق مكسب سريع من خلال تفعيل إشعار استباقي فوري عبر SMS أو البريد الإلكتروني عند رصد أي مخالفة مرورية، مما سيُقلص الحاجة إلى تواصل المتعامل مع الدعم ويمسّ ما نسبته 2.0% من إجمالي الحالات. وفيما يلي جدول تفصيلي بنقاط الاحتكاك المُحددة وأسبابها الجذرية والإجراءات التحسينية المقترحة: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الإجراء التحسيني</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نقطة الاحتكاك</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مراجعة وإصلاح منظومة مطابقة لوحات الرادار، وإنشاء قناة رقمية لتقديم شكاوى المخالفات المشكوك فيها مع توضيح آلية إثبات عدم التواجد في الفجيرة ومدة المعالجة.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صورة المركبة في إشعار المخالفة تُظهر مركبة مختلفة أو لوحة غير صحيحة، أو تسجيل مخالفة على متعامل لم يكن في الفجيرة</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إطلاق خدمة اعتراض رقمية على المخالفات عبر التطبيق والموقع، مع نشر إجراءات الاعتراض خطوة بخطوة وتوفير تتبع حالة الاعتراض داخل التطبيق.</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معلومات مفقودة من الدليل</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المتعامل يعترض على صحة المخالفة ولا يوجد قناة رقمية واضحة لتقديم الاعتراض الرسمي</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توسيع ميزة التحديث الذاتي في التطبيق لتشمل رقم الهاتف وصورة الهوية والصورة الشخصية، مع نشر دليل مصوّر خطوة بخطوة وتوفير نموذج إلكتروني بديل عند الحاجة.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معلومات موجودة لكنها صعبة الوصول</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عدم قدرة المتعامل على تحديث بياناته الشخصية (رقم الهاتف، الهوية، الصورة) ذاتياً ويضطر للتواصل مع الدعم</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إشعارات SMS تلقائية في كل مرحلة من مراحل تسليم المستند، وإضافة أداة تتبع ذاتي «أين مستندي؟» داخل التطبيق مع توضيح المدة المتوقعة للاستلام.</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عدم استلام ملكية المركبة أو رخصة القيادة بعد السداد دون وجود إشعار تتبع أو تسليم</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إشعارات تلقائية عند كل تحديث في حالة الطلب، وإتاحة تتبع حالة الطلب ذاتياً عبر التطبيق لتقليل الحاجة إلى التواصل مع الدعم.</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عدم وضوح حالة طلب تجديد الرخصة أو تسجيل المركبة المقدم مسبقاً دون أي إشعار بالتحديث</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إدراج خدمة تصريح السلاح في الدليل مع معايير الأهلية والمستندات ومدة المعالجة، وتفعيل إشعارات تلقائية في كل مرحلة مراجعة مع توفير جهة تصعيد مباشرة.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بقاء طلبات تصريح السلاح معلّقة لأشهر دون إشعار بحالة الطلب أو أي تحديث للمتعامل</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إنشاء قناة رقمية لطلبات الاسترداد في التطبيق، وإرسال رسالة SMS تأكيد تلقائية لكل معاملة دفع، مع توفير مسار تصعيد تقني واضح عبر الشات بوت.</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خصم الرسوم مرتين أو منع تسجيل المركبة دون سبب واضح بسبب خلل تقني في النظام</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إضافة شاشات تأكيد تعرض ملخصاً كاملاً قبل إتمام الدفع، ونشر أدلة مرئية خطوة بخطوة لعمليات الدفع الشائعة مع تلميحات توضيحية عند نقاط القرار في التطبيق.</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معلومات مفقودة من الدليل</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ارتكاب المتعامل خطأ في اختيار نوع اللوحة أو الخدمة أثناء الدفع بسبب عدم وضوح واجهة التطبيق</w:t>
            </w:r>
          </w:p>
        </w:tc>
      </w:tr>
    </w:tbl>
    <w:p/>
    <w:p>
      <w:pPr>
        <w:bidi w:val="1"/>
        <w:pStyle w:val="Heading1"/>
        <w:jc w:val="left"/>
      </w:pPr>
      <w:r>
        <w:rPr>
          <w:rFonts w:ascii="Dubai" w:hAnsi="Dubai" w:eastAsia="Dubai" w:cs="Dubai"/>
          <w:b/>
          <w:color w:val="B68A35"/>
          <w:sz w:val="32"/>
          <w:szCs w:val="32"/>
          <w:rtl/>
        </w:rPr>
        <w:t>خامساً: التحليل الثالث — تحليل الفجوات الرقمية</w:t>
      </w:r>
      <w:bookmarkStart w:id="15" w:name="_Toc000000015"/>
      <w:bookmarkEnd w:id="15"/>
    </w:p>
    <w:p>
      <w:pPr>
        <w:bidi w:val="1"/>
        <w:spacing w:after="120"/>
        <w:jc w:val="both"/>
      </w:pPr>
      <w:r>
        <w:rPr>
          <w:rFonts w:ascii="Dubai" w:hAnsi="Dubai" w:eastAsia="Dubai" w:cs="Dubai"/>
          <w:b w:val="0"/>
          <w:i w:val="0"/>
          <w:color w:val="000000"/>
          <w:sz w:val="24"/>
          <w:szCs w:val="24"/>
          <w:u w:val="none"/>
          <w:rtl/>
        </w:rPr>
        <w:t>لماذا تستمر المشكلات رغم توفر التطبيق والموقع الإلكتروني؟ تكشف بيانات الفترة من يناير إلى ديسمبر 2025 أن 94.0% من الحالات قُدِّمت عبر القنوات الرقمية (تطبيق/موقع)، فيما نشأت 86.5% من الحالات في سياق رقمي مباشر، مما يؤكد أن المشكلة ليست غياب القنوات الرقمية بل غياب الوظائف الصحيحة داخلها. رُصدت 6 فجوات حرجة و2 فجوات عالية الخطورة، أبرزها موضوع «مخالفات مرورية مشكوك فيها — صورة مركبة مختلفة أو عدم التواجد في الفجيرة» بـ 11 حالة، ويمكن تحويل 11 حالة (22.0% من الإجمالي) عبر إشعار SMS/بريد إلكتروني استباقي دون أي تغيير في البنية التحتية.</w:t>
      </w:r>
    </w:p>
    <w:p>
      <w:pPr>
        <w:bidi w:val="1"/>
        <w:pStyle w:val="Heading2"/>
        <w:jc w:val="left"/>
      </w:pPr>
      <w:r>
        <w:rPr>
          <w:rFonts w:ascii="Dubai" w:hAnsi="Dubai" w:eastAsia="Dubai" w:cs="Dubai"/>
          <w:b/>
          <w:color w:val="B68A35"/>
          <w:sz w:val="26"/>
          <w:szCs w:val="26"/>
          <w:rtl/>
        </w:rPr>
        <w:t>5.1  جدول الفجوات المُدمج</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نوع الفجوة</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وضع التطبيق / الموقع الحالي</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الشدّة</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الموضوع</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إنشاء قناة رقمية لتقديم شكاوى المخالفات المشكوك فيها مع رفع الصور، وإضافة سؤال شائع يوضح إجراءات إثبات عدم التواجد وتصحيح بيانات الرادار.</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محتوى مفقود + غياب قناة رقمية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خدمة الاعتراض متاحة عبر مراكز الخدمة فقط (07:30–15:30)، ولا توجد قناة رقمية لتقديم شكوى مخالفة مشكوك فيها أو رفع صور إثباتية، ولا يوجد محتوى يوضح كيفية إثبات عدم التواجد في الفجيرة.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11</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مخالفات مرورية مشكوك فيها — صورة مركبة مختلفة أو عدم التواجد في الفجيرة</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إطلاق خدمة اعتراض رقمية عبر تطبيق MOI وموقع شرطة الفجيرة، مع تتبع حالة الاعتراض وسؤال شائع يوضح المستندات والجدول الزمني.</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قناة رقمية + إجراء غير ميسّر</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الاعتراض الرسمي متاح عبر مراكز الخدمة فقط بأوراق ورقية، ولا يوجد مسار رقمي في تطبيق MOI أو موقع شرطة الفجيرة لتقديم الاعتراض أو تتبع حالته.</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اعتراضات على مخالفات مرورية — غياب قناة رقمية لتقديم الاعتراض الرسمي</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توسيع ميزة تحديث البيانات الذاتية لتشمل رقم الهاتف والصورة الشخصية وصورة الهوية، ونشر دليل مصوّر خطوة بخطوة داخل التطبيق.</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معلومات غير ميسّرة + غياب الخدمة الذاتية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تغيير بيانات رخصة القيادة متاح عبر تطبيق MOI والموقع (24/7)، لكن تحديث رقم الهاتف والصورة الشخصية وصورة الهوية غير متاح ذاتياً ويستلزم التواصل مع الدعم.</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تحديث بيانات المتعامل — غياب خيار الخدمة الذاتية</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في كل مرحلة (تأكيد الدفع، طباعة، إرسال، استلام)، وإضافة أداة تتبع ذاتي «أين مستندي؟» في التطبيق.</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الإشعار الاستباقي + محتوى مفقود</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لا يوجد محتوى في الدليل أو التطبيق يوضح مدة استلام المستندات، ولا توجد ميزة تتبع أو إشعارات تلقائية بمراحل الطباعة والإرسال والاستلام.</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عدم استلام المستندات — غياب تتبع التسليم والإشعارات</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عند كل مرحلة (مقدّم، قيد المراجعة، معتمد، جاهز للاستلام)، وإضافة لوحة «طلباتي» بحالة لحظية في التطبيق.</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الإشعار الاستباقي + محتوى مفقود</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لا توجد لوحة «طلباتي» في تطبيق MOI تعرض حالة طلبات تجديد الرخصة أو تسجيل المركبة لحظياً، ولا تُرسَل إشعارات تلقائية عند تغيّر حالة الطلب.</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متابعة الطلبات المعلّقة — غياب الرؤية على حالة الطلب</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في كل مرحلة مراجعة، وإضافة خدمة تصريح السلاح للدليل مع معايير الأهلية والمستندات ومدة المعالجة وجهة اتصال مباشرة.</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محتوى مفقود + غياب الإشعار الاستباقي</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خدمة تصريح السلاح غائبة كلياً عن الدليل والتطبيق، ولا توجد معايير أهلية أو مستندات مطلوبة أو إشعارات بمراحل المراجعة أو جهة اتصال للتصعيد.</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طلبات تصريح السلاح — غياب تحديثات الحالة والتواصل</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إنشاء قناة رقمية لطلبات الاسترداد والنزاع في تطبيق MOI، وإرسال SMS تأكيد تلقائي لكل معاملة دفع، وإضافة سؤال شائع للخصم المزدوج.</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خلل في المنصة + غياب قناة استرداد رقمية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خدمة استرجاع المخالفات المدفوعة متاحة عبر مراكز الخدمة فقط (07:30–15:30)، ولا توجد قناة رقمية في التطبيق لتقديم نزاع الخصم المزدوج أو طلب الاسترداد.</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أخطاء تقنية في النظام — خصم مزدوج وحجب تسجيل غير مبرر</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إضافة أدلة مرئية بلقطات شاشة لعمليات الدفع الشائعة، وشاشات تأكيد بملخص كامل قبل الإرسال، وسؤال شائع لتصحيح الاختيار الخاطئ.</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معلومات مفقودة + غياب إرشادات واجهة المستخدم</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لا توجد إرشادات مرئية أو شاشات تأكيد واضحة في مسار الدفع، مما يؤدي إلى اختيار نوع لوحة أو خدمة خاطئة دون إمكانية التصحيح الفوري.</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أخطاء في إجراءات الدفع — عدم وضوح واجهة التطبيق يؤدي إلى اختيارات خاطئة</w:t>
            </w:r>
          </w:p>
        </w:tc>
      </w:tr>
    </w:tbl>
    <w:p/>
    <w:p>
      <w:pPr>
        <w:bidi w:val="1"/>
        <w:pStyle w:val="Heading2"/>
        <w:jc w:val="left"/>
      </w:pPr>
      <w:r>
        <w:rPr>
          <w:rFonts w:ascii="Dubai" w:hAnsi="Dubai" w:eastAsia="Dubai" w:cs="Dubai"/>
          <w:b/>
          <w:color w:val="B68A35"/>
          <w:sz w:val="26"/>
          <w:szCs w:val="26"/>
          <w:rtl/>
        </w:rPr>
        <w:t>5.2  الأسباب الجذرية لاستمرار المشكلات</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الحل</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مثال على التحدي</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إنشاء نموذج إبلاغ رقمي في التطبيق لتقديم شكاوى المخالفات المشكوك فيها مع رفع المستندات الإثباتية وتحديد مدة معالجة واضحة.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13 حالة — صورة المركبة في إشعار المخالفة تُظهر مركبة مختلفة أو لوحة غير صحيحة، أو تسجيل مخالفة على متعامل لم يكن في الفجيرة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آلية إبلاغ تقني منظمة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إشعارات SMS/بريد إلكتروني تلقائية عند كل تغيّر في حالة الطلب من تقديم حتى الاستلام النهائي.</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11 حالة — عدم وضوح حالة طلب تجديد الرخصة أو تسجيل المركبة المقدم مسبقاً دون أي إشعار بالتحديث</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ضعف الإشعار الاستباقي</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إطلاق مسار رقمي متكامل للاعتراض على المخالفات عبر تطبيق MOI مع تتبع الحالة وقائمة المستندات المطلوبة.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8 حالة — المتعامل يعترض على صحة المخالفة ولا يوجد قناة رقمية واضحة لتقديم الاعتراض الرسمي</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مسار رقمي مخصص</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نشر دليل مرئي خطوة بخطوة لتحديث البيانات الذاتية داخل التطبيق، وإضافة أسئلة شائعة موجّهة بنقاط الدخول الرئيسية.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 حالة — عدم قدرة المتعامل على تحديث بياناته الشخصية (رقم الهاتف، الهوية، الصورة) ذاتياً ويضطر للتواصل مع الدعم</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ضعف التوعية بالقنوات الرقمية المتاحة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r>
    </w:tbl>
    <w:p/>
    <w:p>
      <w:pPr>
        <w:bidi w:val="1"/>
        <w:pStyle w:val="Heading1"/>
        <w:jc w:val="left"/>
      </w:pPr>
      <w:r>
        <w:rPr>
          <w:rFonts w:ascii="Dubai" w:hAnsi="Dubai" w:eastAsia="Dubai" w:cs="Dubai"/>
          <w:b/>
          <w:color w:val="B68A35"/>
          <w:sz w:val="32"/>
          <w:szCs w:val="32"/>
          <w:rtl/>
        </w:rPr>
        <w:t>سادساً: التحليل الرابع — خطة التحويل الرقمي</w:t>
      </w:r>
      <w:bookmarkStart w:id="18" w:name="_Toc000000018"/>
      <w:bookmarkEnd w:id="18"/>
    </w:p>
    <w:p>
      <w:pPr>
        <w:bidi w:val="1"/>
        <w:spacing w:after="120"/>
        <w:jc w:val="both"/>
      </w:pPr>
      <w:r>
        <w:rPr>
          <w:rFonts w:ascii="Dubai" w:hAnsi="Dubai" w:eastAsia="Dubai" w:cs="Dubai"/>
          <w:b w:val="0"/>
          <w:i w:val="0"/>
          <w:color w:val="000000"/>
          <w:sz w:val="24"/>
          <w:szCs w:val="24"/>
          <w:u w:val="none"/>
          <w:rtl/>
        </w:rPr>
        <w:t>يستعرض هذا القسم سبعة أسئلة شائعة ذات أولوية، مستخرجة من الأنماط الأكثر تكراراً في البيانات النصية للفترة الممتدة من يناير إلى ديسمبر 2025، إلى جانب مسار إشعارات استباقية مقترح لتحسين تجربة المتعاملين. تشير البيانات إلى أن ما لا يقل عن 4 حالات تمثّل ما نسبته 8.0% من إجمالي الحالات، يمكن تفاديها بالكامل من خلال تفعيل منظومة إشعارات تلقائية بسيطة دون الحاجة إلى أي تغيير هيكلي.</w:t>
      </w:r>
    </w:p>
    <w:p>
      <w:pPr>
        <w:bidi w:val="1"/>
        <w:pStyle w:val="Heading2"/>
        <w:jc w:val="left"/>
      </w:pPr>
      <w:r>
        <w:rPr>
          <w:rFonts w:ascii="Dubai" w:hAnsi="Dubai" w:eastAsia="Dubai" w:cs="Dubai"/>
          <w:b/>
          <w:color w:val="B68A35"/>
          <w:sz w:val="26"/>
          <w:szCs w:val="26"/>
          <w:rtl/>
        </w:rPr>
        <w:t>6.1  الأسئلة الشائعة ذات الأولوية</w:t>
      </w:r>
      <w:bookmarkStart w:id="19" w:name="_Toc000000019"/>
      <w:bookmarkEnd w:id="19"/>
    </w:p>
    <w:p>
      <w:pPr>
        <w:bidi w:val="1"/>
        <w:spacing w:after="120"/>
        <w:jc w:val="both"/>
      </w:pPr>
      <w:r>
        <w:rPr>
          <w:rFonts w:ascii="Dubai" w:hAnsi="Dubai" w:eastAsia="Dubai" w:cs="Dubai"/>
          <w:b w:val="0"/>
          <w:i w:val="0"/>
          <w:color w:val="000000"/>
          <w:sz w:val="24"/>
          <w:szCs w:val="24"/>
          <w:u w:val="none"/>
          <w:rtl/>
        </w:rPr>
        <w:t>هذه الأسئلة مستخرجة من الأنماط الأكثر تكراراً في البيانات النصية.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التكرار</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الإجابة المقترحة</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السؤال</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افتح تطبيق MOI وراجع صورة المركبة المرفقة بالمخالفة. إذا كانت الصورة لمركبة مختلفة عن مركبتك، قدّم شكوى رسمية عبر التطبيق أو الموقع الإلكتروني مرفقاً بها صورة مركبتك وبيانات اللوحة. سيتولى المختصون التحقق من الأمر وتصحيحه.</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كيف أتحقق من أن المخالفة المرورية المسجّلة باسمي تخصّ مركبتي فعلاً وليست مركبة أخرى؟</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نعم، يحق لك تقديم اعتراض رسمي عبر تطبيق MOI مباشرةً، أو بمراجعة إدارة المرور في الفجيرة أو مركز مسافي الشامل. في حال رُفض الاعتراض وأردت الاستفادة من الخصم المتاح، تواصل مع الإدارة المختصة وتقدّم بطلب رسمي.</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هل يحق لي الاعتراض على مخالفة مرورية أرى أنها صدرت بحقي خطأً؟</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تواصل مع شرطة الفجيرة أو راجع مركز الخدمة مباشرةً لتحديث رقم هاتفك وبياناتك. أما البيانات المرتبطة بالهوية كالاسم، فتستلزم مراجعة الإدارة العامة للجنسية والإقامة وشؤون الأجانب، إذ ترتبط بمنظومة UAE PASS للهوية الرقمية.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كيف أحدّث رقم هاتفي أو بياناتي الشخصية في سجلات نظام المرور؟</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تُرسَل الوثائق عبر بريد الإمارات إلى العنوان المسجّل في طلبك. تحقّق أولاً من صحة عنوان التوصيل ورقم هاتفك في النظام. إن مضى وقت كافٍ دون استلام، تواصل مع شرطة الفجيرة طالباً إعادة الطباعة والإرسال مع إرفاق إثبات السداد.</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سدّدت الرسوم المطلوبة لكن لم أستلم ملكية مركبتي أو رخصة القيادة حتى الآن، ماذا أفعل؟</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تُعالَج طلبات تصاريح الأسلحة من قِبل اللجنة المختصة في مديرية الأسلحة والمتفجرات. للاستفسار عن حالة طلبك أو في حال التأخر، تواصل مع شرطة الفجيرة لمتابعة التنسيق مع الجهة المعنية والحصول على تحديث بشأن موعد البت في الطلب.</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ما حالة طلب تصريح السلاح الذي قدّمته، وكم يستغرق البت فيه عادةً؟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تواصل فوراً مع شرطة الفجيرة مرفقاً تفاصيل الدفع وإثبات العمليتين الماليتين (كشف الحساب أو لقطة الشاشة). سيتحقق المختصون من الخطأ التقني ويعيدون المبلغ المخصوم زيادةً إلى حسابك.</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خُصمت منّي الرسوم مرتين بسبب خطأ تقني ولم تُصدر لي الخدمة أو الشهادة، كيف أسترد المبلغ؟</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راجع الجهة المختصة في شرطة الفجيرة مرفقاً إثبات الدفع لتقييم إمكانية الاسترداد. يوضح تطبيق MOI أنواع اللوحات وخطوات الاختيار بالتفصيل، لذا يُنصح بمراجعة التعليمات قبل إتمام الدفع تفادياً لهذا النوع من الأخطاء.</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اخترت نوع لوحة خاطئاً في التطبيق وسدّدت الرسوم، هل يمكنني استرداد المبلغ؟</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7</w:t>
            </w:r>
          </w:p>
        </w:tc>
      </w:tr>
    </w:tbl>
    <w:p/>
    <w:p>
      <w:pPr>
        <w:bidi w:val="1"/>
      </w:pPr>
      <w:r>
        <w:rPr>
          <w:rFonts w:ascii="Dubai" w:hAnsi="Dubai" w:eastAsia="Dubai" w:cs="Dubai"/>
          <w:i/>
          <w:color w:val="000000"/>
          <w:sz w:val="22"/>
          <w:szCs w:val="22"/>
          <w:rtl/>
        </w:rPr>
        <w:t>هذه الأسئلة مستخرجة من الأنماط الأكثر تكراراً في البيانات النصية.</w:t>
      </w:r>
    </w:p>
    <w:p>
      <w:pPr>
        <w:bidi w:val="1"/>
        <w:pStyle w:val="Heading2"/>
        <w:jc w:val="left"/>
      </w:pPr>
      <w:r>
        <w:rPr>
          <w:rFonts w:ascii="Dubai" w:hAnsi="Dubai" w:eastAsia="Dubai" w:cs="Dubai"/>
          <w:b/>
          <w:color w:val="B68A35"/>
          <w:sz w:val="26"/>
          <w:szCs w:val="26"/>
          <w:rtl/>
        </w:rPr>
        <w:t>6.2  مسار إلغاء 4+ حالة تواصل بالإشعار الاستباقي</w:t>
      </w:r>
      <w:bookmarkStart w:id="20" w:name="_Toc000000020"/>
      <w:bookmarkEnd w:id="20"/>
    </w:p>
    <w:p>
      <w:pPr>
        <w:bidi w:val="1"/>
        <w:spacing w:after="120"/>
        <w:jc w:val="both"/>
      </w:pPr>
      <w:r>
        <w:rPr>
          <w:rFonts w:ascii="Dubai" w:hAnsi="Dubai" w:eastAsia="Dubai" w:cs="Dubai"/>
          <w:b w:val="0"/>
          <w:i w:val="0"/>
          <w:color w:val="000000"/>
          <w:sz w:val="24"/>
          <w:szCs w:val="24"/>
          <w:u w:val="none"/>
          <w:rtl/>
        </w:rPr>
        <w:t>تحليل البيانات يكشف أن 4+ حالة تواصل (8% من الإجمالي) كان يمكن إلغاؤها كلياً بمنظومة إشعارات بسيطة — دون أي تغيير هيكلي في الأنظمة أو الإجراءات:</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القناة</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محتوى الإشعار (مثال)</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الحالات المُلغاة</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نوع الإشعار</w:t>
            </w:r>
          </w:p>
        </w:tc>
      </w:tr>
      <w:tr>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تفادي حالة واحدة من الاستفسارات المتعلقة بالتحقق من ملكية المخالفة وتقليص مراجعات التحقق.</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SMS / بريد إلكتروني</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«شرطة الفجيرة: تم رصد مخالفة مرورية برقم [X] بتاريخ [X] على مركبتك. يمكنك الاطلاع على صورة المخالفة عبر تطبيق MOI.»</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 حالات</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فوري عند رصد مخالفة مرورية مع إرفاق صورة المركبة المخالفة</w:t>
            </w:r>
          </w:p>
        </w:tc>
      </w:tr>
      <w:tr>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إلغاء حالة استفسار واحدة عن حالة الوثائق وتخفيض المراجعات الناجمة عن تأخر الاستلام.</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SMS / بريد إلكتروني</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«شرطة الفجيرة: وثيقتك [X] قيد التوصيل عبر بريد الإمارات. رقم التتبع: [X]. المدة المتوقعة للاستلام: [X] أيام عمل.»</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 حالات</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تتبع توصيل الوثائق (ملكية المركبة أو رخصة القيادة)</w:t>
            </w:r>
          </w:p>
        </w:tc>
      </w:tr>
      <w:tr>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تفادي حالة استفسار واحدة عن سير طلبات التصاريح وخفض الاتصالات المتعلقة بالمتابعة.</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SMS / بريد إلكتروني</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«شرطة الفجيرة: طلب تصريح السلاح رقم [X] قيد المراجعة من اللجنة المختصة. سيتم إشعارك فور صدور القرار.»</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 حالات</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بحالة طلب تصريح السلاح</w:t>
            </w:r>
          </w:p>
        </w:tc>
      </w:tr>
      <w:tr>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إلغاء حالة استفسار واحدة عن متطلبات الطلبات وتقليص المراجعات الناجمة عن نقص المستندات.</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SMS</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«شرطة الفجيرة: طلبك رقم [X] يستلزم استكمال المستندات التالية: [X]. يُرجى المراجعة قبل تاريخ [X] لإتمام المعاملة.»</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 حالات</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بمتطلبات استكمال طلب تجديد الرخصة أو تسجيل المركبة</w:t>
            </w:r>
          </w:p>
        </w:tc>
      </w:tr>
    </w:tbl>
    <w:p/>
    <w:p>
      <w:pPr>
        <w:bidi w:val="1"/>
      </w:pPr>
      <w:r>
        <w:rPr>
          <w:rFonts w:ascii="Dubai" w:hAnsi="Dubai" w:eastAsia="Dubai" w:cs="Dubai"/>
          <w:i/>
          <w:color w:val="000000"/>
          <w:sz w:val="22"/>
          <w:szCs w:val="22"/>
          <w:rtl/>
        </w:rPr>
        <w:t>تحليل البيانات يكشف أن 4+ حالة تواصل (8% من الإجمالي) كان يمكن إلغاؤها كلياً بمنظومة إشعارات بسيطة — دون أي تغيير هيكلي في الأنظمة أو الإجراءات:</w:t>
      </w:r>
    </w:p>
    <w:p>
      <w:pPr>
        <w:bidi w:val="1"/>
        <w:pStyle w:val="Heading1"/>
        <w:jc w:val="left"/>
      </w:pPr>
      <w:r>
        <w:rPr>
          <w:rFonts w:ascii="Dubai" w:hAnsi="Dubai" w:eastAsia="Dubai" w:cs="Dubai"/>
          <w:b/>
          <w:color w:val="B68A35"/>
          <w:sz w:val="32"/>
          <w:szCs w:val="32"/>
          <w:rtl/>
        </w:rPr>
        <w:t>سابعاً: حالات الاستخدام المدعومة بالذكاء الاصطناعي</w:t>
      </w:r>
      <w:bookmarkStart w:id="21" w:name="_Toc000000021"/>
      <w:bookmarkEnd w:id="21"/>
    </w:p>
    <w:p>
      <w:pPr>
        <w:bidi w:val="1"/>
        <w:spacing w:after="120"/>
        <w:jc w:val="both"/>
      </w:pPr>
      <w:r>
        <w:rPr>
          <w:rFonts w:ascii="Dubai" w:hAnsi="Dubai" w:eastAsia="Dubai" w:cs="Dubai"/>
          <w:b w:val="0"/>
          <w:i w:val="0"/>
          <w:color w:val="000000"/>
          <w:sz w:val="24"/>
          <w:szCs w:val="24"/>
          <w:u w:val="none"/>
          <w:rtl/>
        </w:rPr>
        <w:t>تتكامل الفرص المرصودة في يناير - ديسمبر 2025 مع قدرات الذكاء الاصطناعي لبناء منظومة خدمة ذاتية ذكية تغطي ما لا يقل عن 92.0% من إجمالي الحالات الواردة دون تدخل بشري في مرحلة التصنيف. واستناداً إلى تحليل 50 حالة موثقة خلال الفترة المذكورة، تُقدم هذه الوثيقة أربع أدوات ذكاء اصطناعي متكاملة تعالج أبرز مصادر الاحتكاك في رحلة المتعامل من عند نقطة نشوئها.</w:t>
      </w:r>
    </w:p>
    <w:p>
      <w:pPr>
        <w:bidi w:val="1"/>
        <w:spacing w:after="120"/>
        <w:jc w:val="both"/>
      </w:pPr>
      <w:r>
        <w:rPr>
          <w:rFonts w:ascii="Dubai" w:hAnsi="Dubai" w:eastAsia="Dubai" w:cs="Dubai"/>
          <w:b w:val="0"/>
          <w:i w:val="0"/>
          <w:color w:val="000000"/>
          <w:sz w:val="24"/>
          <w:szCs w:val="24"/>
          <w:u w:val="none"/>
          <w:rtl/>
        </w:rPr>
        <w:t>ملاحظة محورية: بيانات التدريب جاهزة الآن — إذ تتوفر 50 حالة مصنّفة ومُعلَّمة من فترة يناير - ديسمبر 2025 تُشكّل قاعدة بيانات تدريب جاهزة للاستخدام الفوري. يُتيح هذا المجموعة المُعلَّمة الشروع في تدريب نموذج تصنيف الذكاء الاصطناعي دون أي تأخير في مرحلة جمع البيانات أو الإعداد.</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تقييم التنفيذ</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الأثر المتوقع على بيانات يناير - ديسمبر 2025</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الوظيفة</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الأداة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مرتفع — 9+ أشهر (يتطلب الوصول لتغذية لحظية من كاميرات المخالفات)</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يُفعَّل النظام تلقائياً لحظة التقاط صورة المخالفة المرورية، إذ يستخدم نموذج رؤية حاسوبية (Computer Vision) لمطابقة لون المركبة وطرازها في الصورة مع بيانات السيارة المسجلة في قاعدة بيانات المركبات. وعند اكتشاف أي تناقض بين اللوحة المصورة وسجل الملكية، يُصدر النظام تنبيهاً فورياً للمختص قبل إتمام إصدار المخالفة وإرسالها للمتعامل.</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نظام التحقق البصري من صحة المخالفة</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متوسط — 3-4 أشهر (يتطلب خريطة صلاحيات موثقة لكل الجهات)</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عند ورود أي حالة جديدة في CRM، يحلل النموذج نص الطلب باستخدام تصنيف نصي مدعوم بالذكاء الاصطناعي، ثم يقارنه بقاعدة بيانات صلاحيات الجهات لتحديد الجهة المختصة تلقائياً — سواء أكانت شرطة الفجيرة أم RTA أم جهة حكومية أخرى. يُنتج النظام رسالة توجيه فورية تُرسل للمتعامل عبر القناة الرقمية المناسبة دون الحاجة إلى مراجعة يدوية.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موجّه الحالات الذكي بين الجهات الحكومية</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متوسط — 3-4 أشهر (نموذج OCR ومعايير التحقق من الوثائق متاحة تجارياً)</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يعترض النظام كل وثيقة يرفعها المتعامل قبل إتمام إرسال الطلب، ويُجري عليها سلسلة فحوصات آلية باستخدام OCR واشتراطات جودة الصورة: يتحقق من دقة الصورة الشخصية وصلاحية شهادة الفحص الفني واكتمال الحقول الإلزامية وتطابق رقم الهوية مع البيانات المدخلة. وعند رصد أي قصور، يُوجّه النظام المتعامل فوراً بتعليمات تصحيح محددة قبل تسجيل الطلب في CRM.</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فاحص جودة الوثائق واكتمالها آلياً</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منخفض–متوسط — 2-3 أشهر (بيانات الموقع مستخرجة من نصوص CRM الموجودة)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يعمل النظام على نصوص الشكاوى والمقترحات المخزنة في CRM، ويستخرج منها المواقع والمناطق الجغرافية المذكورة باستخدام تقنية استخراج الكيانات الجغرافية (NER)، ثم يُرسم هذه البيانات تلقائياً في خريطة حرارية تُظهر كثافة الإبلاغ لكل منطقة. يُخرج النظام تقريراً دورياً يُصنّف التقاطعات والمناطق ذات التركز غير المتناسب لدعم قرارات تخصيص الموارد وأولويات البنية التحتية.</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بالخريطة الحرارية</w:t>
            </w:r>
          </w:p>
        </w:tc>
      </w:tr>
    </w:tbl>
    <w:p/>
    <w:p>
      <w:pPr>
        <w:bidi w:val="1"/>
      </w:pPr>
      <w:r>
        <w:rPr>
          <w:rFonts w:ascii="Dubai" w:hAnsi="Dubai" w:eastAsia="Dubai" w:cs="Dubai"/>
          <w:i/>
          <w:color w:val="000000"/>
          <w:sz w:val="22"/>
          <w:szCs w:val="22"/>
          <w:rtl/>
        </w:rPr>
        <w:t>تتكامل الفرص المرصودة في يناير - ديسمبر 2025 مع قدرات الذكاء الاصطناعي لبناء منظومة خدمة ذاتية ذكية تغطي ما لا يقل عن 92.0% من إجمالي الحالات الواردة دون تدخل بشري في مرحلة التصنيف. واستناداً إلى تحليل 50 حالة موثقة خلال الفترة المذكورة، تُقدم هذه الوثيقة أربع أدوات ذكاء اصطناعي متكاملة تعالج أبرز مصادر الاحتكاك في رحلة المتعامل من عند نقطة نشوئها.</w:t>
      </w:r>
    </w:p>
    <w:p>
      <w:pPr>
        <w:bidi w:val="1"/>
        <w:pStyle w:val="Heading1"/>
        <w:jc w:val="left"/>
      </w:pPr>
      <w:r>
        <w:rPr>
          <w:rFonts w:ascii="Dubai" w:hAnsi="Dubai" w:eastAsia="Dubai" w:cs="Dubai"/>
          <w:b/>
          <w:color w:val="B68A35"/>
          <w:sz w:val="32"/>
          <w:szCs w:val="32"/>
          <w:rtl/>
        </w:rPr>
        <w:t>ثامناً: خارطة الطريق التحسينية المقترحة</w:t>
      </w:r>
      <w:bookmarkStart w:id="22" w:name="_Toc000000022"/>
      <w:bookmarkEnd w:id="22"/>
    </w:p>
    <w:p>
      <w:pPr>
        <w:bidi w:val="1"/>
        <w:spacing w:after="120"/>
        <w:jc w:val="both"/>
      </w:pPr>
      <w:r>
        <w:rPr>
          <w:rFonts w:ascii="Dubai" w:hAnsi="Dubai" w:eastAsia="Dubai" w:cs="Dubai"/>
          <w:b w:val="0"/>
          <w:i w:val="0"/>
          <w:color w:val="000000"/>
          <w:sz w:val="24"/>
          <w:szCs w:val="24"/>
          <w:u w:val="none"/>
          <w:rtl/>
        </w:rPr>
        <w:t>تجمع هذه الخارطة توصيات التحليلات الأربعة في منظومة أولويات متدرجة مستندةً إلى بيانات الفترة يناير - ديسمبر 2025 البالغة 50 حالة، بهدف تحويل الفجوات المرصودة إلى إجراءات تحسينية قابلة للقياس. جميع البنود الثمانية مستخلصة مباشرةً من التحليل دون توصيات عامة، ومرتّبة تنازلياً وفق معيارَي الأثر وسهولة التنفيذ.</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الجهد</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المصدر</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الأفق الزمني</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تقليص 6+ حالة اعتراض على مخالفات وخفض الاتصالات المتكررة بتوفير مسار رسمي واضح.</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إنشاء قناة اعتراض رقمية رسمية على المخالفات المرورية داخل تطبيق MOI، تتيح للمتعامل رفع اعتراضه مع إرفاق المستندات الداعمة وتلقّي رقم مرجعي فوري عبر SMS.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معالجة 4+ حالة ناجمة عن غياب تتبع التسليم وتقليص استفسارات الاستلام المتكررة.</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إشعارات SMS وبريد إلكتروني تلقائية عند كل مرحلة تسليم مستند (تأكيد دفع، طباعة، إرسال، استلام)، مع إضافة أداة «أين مستندي؟» في تطبيق MOI لتتبع ذاتي.</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معالجة 4+ حالة متابعة معلّقة وخفض تواصل المتعامل للاستفسار عن حالة طلبه.</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إضافة لوحة «طلباتي» في تطبيق MOI تعرض حالة الطلب لحظياً، مع إشعارات تلقائية عبر SMS عند كل تحديث لمراحل تجديد الرخصة وتسجيل المركبة.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تقليص 4+ حالة عدم استلام مستندات بتحديد توقعات واضحة وتنبيه استباقي للمتعامل.</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نشر جدول زمني واضح في بوابة MOI والتطبيق يحدد المدة المتوقعة لاستلام بطاقة الملكية ورخصة القيادة بعد السداد، مع ربطه بإشعار تلقائي عند انتهاء المدة.</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تقليص 4+ حالة غياب وضوح حالة الطلب وتحويل المتعامل من المتابعة اليدوية إلى التتبع الذاتي.</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 تلقائي للمتعامل عند أي تغيير في حالة طلب تجديد الرخصة أو تسجيل المركبة، مع نشر مدد المعالجة المعتمدة بشكل بارز في الدليل الرقمي.</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معالجة 3+ حالة تصريح سلاح وخفض التواصل العشوائي بتوفير مسار شفاف ومنظّم.</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إدراج خدمة تصريح السلاح في الدليل الرقمي بمعايير الأهلية والمستندات المطلوبة ومدة المعالجة، مع تفعيل إشعارات SMS عند كل مرحلة مراجعة وإضافة قناة تواصل مباشرة مع مديرية الأسلحة.</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6</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تحويل المقترحات العشوائية إلى قرارات مبنية على كثافة الحالات الفعلية لكل منطقة جغرافية.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بناء رادار خرائطي حراري يجمع الحالات المتكررة جغرافياً ويصنّفها حسب نوع الاحتكاك، لتحويل بيانات الفترة يناير - ديسمبر 2025 إلى قرارات استثمار بنية تحتية مستهدفة.</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7</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قصير المدى</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متوسط</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قطع دوران الحالات بين الجهات وتقليص وقت الحل الفعلي بإلغاء إعادة التوجيه اليدوي.</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تطوير موجّه ذكي في منصة CRM يصنّف الحالات الواردة تلقائياً ويوجّهها للجهة الحكومية المختصة، مع إشعار فوري للمتعامل برقم مرجعي وجهة الإحالة عبر SMS.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8</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متوسط المدى</w:t>
            </w:r>
          </w:p>
        </w:tc>
      </w:tr>
    </w:tbl>
    <w:p/>
    <w:p>
      <w:pPr>
        <w:bidi w:val="1"/>
      </w:pPr>
      <w:r>
        <w:rPr>
          <w:rFonts w:ascii="Dubai" w:hAnsi="Dubai" w:eastAsia="Dubai" w:cs="Dubai"/>
          <w:i/>
          <w:color w:val="000000"/>
          <w:sz w:val="22"/>
          <w:szCs w:val="22"/>
          <w:rtl/>
        </w:rPr>
        <w:t>تجمع هذه الخارطة توصيات التحليلات الأربعة في منظومة أولويات متدرجة مستندةً إلى بيانات الفترة يناير - ديسمبر 2025 البالغة 50 حالة، بهدف تحويل الفجوات المرصودة إلى إجراءات تحسينية قابلة للقياس. جميع البنود الثمانية مستخلصة مباشرةً من التحليل دون توصيات عامة، ومرتّبة تنازلياً وفق معيارَي الأثر وسهولة التنفيذ.</w:t>
      </w:r>
    </w:p>
    <w:p>
      <w:pPr>
        <w:bidi w:val="1"/>
        <w:pStyle w:val="Heading1"/>
        <w:jc w:val="left"/>
      </w:pPr>
      <w:r>
        <w:rPr>
          <w:rFonts w:ascii="Dubai" w:hAnsi="Dubai" w:eastAsia="Dubai" w:cs="Dubai"/>
          <w:b/>
          <w:color w:val="B68A35"/>
          <w:sz w:val="32"/>
          <w:szCs w:val="32"/>
          <w:rtl/>
        </w:rPr>
        <w:t>تاسعاً: الخلاصة — من البيانات إلى القرار</w:t>
      </w:r>
      <w:bookmarkStart w:id="23" w:name="_Toc000000023"/>
      <w:bookmarkEnd w:id="23"/>
    </w:p>
    <w:p>
      <w:pPr>
        <w:bidi w:val="1"/>
        <w:spacing w:after="120"/>
        <w:jc w:val="both"/>
      </w:pPr>
      <w:r>
        <w:rPr>
          <w:rFonts w:ascii="Dubai" w:hAnsi="Dubai" w:eastAsia="Dubai" w:cs="Dubai"/>
          <w:b w:val="0"/>
          <w:i w:val="0"/>
          <w:color w:val="000000"/>
          <w:sz w:val="24"/>
          <w:szCs w:val="24"/>
          <w:u w:val="none"/>
          <w:rtl/>
        </w:rPr>
        <w:t>الرسالة النهائية: إن وصول 94.0% من إجمالي الحالات عبر القنوات الرقمية (التطبيق والموقع الإلكتروني) مقروناً بمعدل إغلاق ضمن مستوى الخدمة بلغ 98.0% يُثبت تميّزاً تشغيلياً واضحاً في قناة التقديم؛ غير أن 86.5% من حالات الاحتكاك نشأت في سياق الخدمة الرقمية ذاتها — سواء أخطاء في التطبيق أو تجديد إلكتروني أو دفع رقمي — مما يدل دلالةً قاطعة على أن الفجوة ليست في وصول المتعامل بل في وظائف الخدمة نفسها. كشفت إعادة تصنيف 46 حالة من أصل 50 بمعدل 92.0% أن المشكلة الجوهرية ليست غياب قنوات التواصل بل غياب الوظائف الخدمية المطلوبة، ويتجلى ذلك في نقطة الاحتكاك الأعلى تكراراً وهي «مخالفات مرورية مشكوك فيها» التي سجّلت 11 حالة منفردة. تُثبت التحليلات الواردة في هذا التقرير أن الحل يكمن في سدّ الفجوات الوظيفية الست ذات الأولوية الحرجة، وتفعيل الإشعار الاستباقي القادر على إلغاء ما لا يقل عن 4 حالات قابلة للحذف كلياً، وتصحيح جودة البيانات — لا في إضافة موارد بشرية — إذ إن التحول الحقيقي يبدأ من البيانات وينتهي بقرار استباقي يسبق حاجة المتعامل.</w:t>
      </w:r>
    </w:p>
    <w:p>
      <w:pPr>
        <w:bidi w:val="1"/>
        <w:pStyle w:val="Heading2"/>
        <w:jc w:val="left"/>
      </w:pPr>
      <w:r>
        <w:rPr>
          <w:rFonts w:ascii="Dubai" w:hAnsi="Dubai" w:eastAsia="Dubai" w:cs="Dubai"/>
          <w:b/>
          <w:color w:val="B68A35"/>
          <w:sz w:val="26"/>
          <w:szCs w:val="26"/>
          <w:rtl/>
        </w:rPr>
        <w:t>المحاور الثلاثة للتحول</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المحور الثالث: الذكاء</w:t>
            </w:r>
          </w:p>
        </w:tc>
        <w:tc>
          <w:tcPr>
            <w:tcW w:type="dxa" w:w="312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المحور الثاني: الإتاحة</w:t>
            </w:r>
          </w:p>
        </w:tc>
        <w:tc>
          <w:tcPr>
            <w:tcW w:type="dxa" w:w="312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المحور الأول: الدقة</w:t>
            </w:r>
          </w:p>
        </w:tc>
      </w:tr>
      <w:tr>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نظام التحقق البصري من صحة المخالفة</w:t>
            </w:r>
          </w:p>
        </w:tc>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فوري عند رصد مخالفة مرورية مع إرفاق صورة المركبة المخالفة</w:t>
            </w:r>
          </w:p>
        </w:tc>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رفع دقة تصنيفات الطلبات</w:t>
            </w:r>
          </w:p>
        </w:tc>
      </w:tr>
      <w:tr>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موجّه الحالات الذكي بين الجهات الحكومية</w:t>
            </w:r>
          </w:p>
        </w:tc>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تتبع توصيل الوثائق (ملكية المركبة أو رخصة القيادة)</w:t>
            </w:r>
          </w:p>
        </w:tc>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إضافة حقلي السبب الجذري وزمن المعالجة في حل الطلب</w:t>
            </w:r>
          </w:p>
        </w:tc>
      </w:tr>
      <w:tr>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فاحص جودة الوثائق واكتمالها آلياً</w:t>
            </w:r>
          </w:p>
        </w:tc>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بحالة طلب تصريح السلاح</w:t>
            </w:r>
          </w:p>
        </w:tc>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إعادة هيكلة تصنيف الخدمات وإلغاء «أخرى»</w:t>
            </w:r>
          </w:p>
        </w:tc>
      </w:tr>
      <w:tr>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بالخريطة الحرارية</w:t>
            </w:r>
          </w:p>
        </w:tc>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بمتطلبات استكمال طلب تجديد الرخصة أو تسجيل المركبة</w:t>
            </w:r>
          </w:p>
        </w:tc>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r>
    </w:tbl>
    <w:p/>
    <w:p>
      <w:pPr>
        <w:bidi w:val="1"/>
        <w:pStyle w:val="Heading2"/>
        <w:jc w:val="left"/>
      </w:pPr>
      <w:r>
        <w:rPr>
          <w:rFonts w:ascii="Dubai" w:hAnsi="Dubai" w:eastAsia="Dubai" w:cs="Dubai"/>
          <w:b/>
          <w:color w:val="B68A35"/>
          <w:sz w:val="26"/>
          <w:szCs w:val="26"/>
          <w:rtl/>
        </w:rPr>
        <w:t>الأثر المجمّع المتوقع:</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30-40%</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95%+</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4+</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color w:val="FFFFFF"/>
                <w:sz w:val="20"/>
                <w:szCs w:val="20"/>
                <w:rtl/>
              </w:rPr>
              <w:t>8.0%</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خفض حالات التواصل المتكرر والاتصالات</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دقة تصنيف الحالات بعد المُصنِّف الآلي وتطبيق المبادرات المقترحة</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حالة قابلة للإلغاء بالإشعار الاستباقي</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 طلبات التواصل هي استفسارات حقيقية قابلة للتحويل الكامل للخدمة الاستباقية</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Bdr>
        <w:top w:val="single" w:sz="12" w:space="4" w:color="B68A35"/>
      </w:pBdr>
    </w:pPr>
    <w:r>
      <w:rPr>
        <w:rFonts w:ascii="Dubai" w:hAnsi="Dubai" w:eastAsia="Dubai" w:cs="Dubai"/>
        <w:sz w:val="18"/>
        <w:szCs w:val="18"/>
      </w:rPr>
      <w:t xml:space="preserve">سري — للاستخدام الداخلي  |  صفحة </w:t>
    </w:r>
    <w:r>
      <w:rPr>
        <w:rFonts w:ascii="Dubai" w:hAnsi="Dubai" w:eastAsia="Dubai" w:cs="Dubai"/>
        <w:sz w:val="18"/>
        <w:szCs w:val="18"/>
      </w:rPr>
      <w:t>‏</w:t>
    </w:r>
    <w:r>
      <w:fldChar w:fldCharType="begin"/>
    </w:r>
    <w:r>
      <w:instrText xml:space="preserve"> PAGE </w:instrText>
    </w:r>
    <w:r>
      <w:fldChar w:fldCharType="end"/>
    </w:r>
    <w:r>
      <w:rPr>
        <w:rFonts w:ascii="Dubai" w:hAnsi="Dubai" w:eastAsia="Dubai" w:cs="Dubai"/>
        <w:sz w:val="18"/>
        <w:szCs w:val="18"/>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center"/>
      <w:pBdr>
        <w:bottom w:val="single" w:sz="12" w:space="4" w:color="B68A35"/>
      </w:pBdr>
    </w:pPr>
    <w:r>
      <w:rPr>
        <w:rFonts w:ascii="Dubai" w:hAnsi="Dubai" w:eastAsia="Dubai" w:cs="Dubai"/>
        <w:color w:val="B68A35"/>
        <w:sz w:val="20"/>
        <w:szCs w:val="20"/>
        <w:rtl/>
      </w:rPr>
      <w:t>تقرير تحليل استفسارات المتعاملين  ·  يناير - ديسمبر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ubai" w:hAnsi="Dubai" w:cs="Duba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ubai" w:hAnsi="Dubai" w:cs="Duba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ubai" w:hAnsi="Dubai" w:cs="Duba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ubai" w:hAnsi="Dubai" w:cs="Duba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bidi/>
      <w:spacing w:before="0" w:line="240" w:lineRule="auto"/>
      <w:ind w:left="0"/>
      <w:jc w:val="left"/>
    </w:pPr>
    <w:rPr>
      <w:rFonts w:ascii="Dubai" w:hAnsi="Dubai" w:cs="Dubai"/>
      <w:b/>
      <w:bCs/>
      <w:color w:val="FFFFFF"/>
      <w:rtl/>
    </w:rPr>
  </w:style>
  <w:style w:type="paragraph" w:styleId="TOC1">
    <w:name w:val="toc 1"/>
    <w:basedOn w:val="Normal"/>
    <w:next w:val="Normal"/>
    <w:autoRedefine/>
    <w:uiPriority w:val="39"/>
    <w:unhideWhenUsed/>
    <w:pPr>
      <w:tabs>
        <w:tab w:val="right" w:leader="dot" w:pos="9310"/>
      </w:tabs>
      <w:bidi/>
      <w:spacing w:after="100"/>
      <w:jc w:val="left"/>
    </w:pPr>
    <w:rPr>
      <w:rFonts w:cs="Dubai"/>
    </w:rPr>
  </w:style>
  <w:style w:type="paragraph" w:styleId="TOC2">
    <w:name w:val="toc 2"/>
    <w:basedOn w:val="Normal"/>
    <w:next w:val="Normal"/>
    <w:autoRedefine/>
    <w:uiPriority w:val="39"/>
    <w:unhideWhenUsed/>
    <w:pPr>
      <w:tabs>
        <w:tab w:val="right" w:leader="dot" w:pos="9310"/>
      </w:tabs>
      <w:bidi/>
      <w:spacing w:after="100"/>
      <w:jc w:val="left"/>
    </w:pPr>
    <w:rPr>
      <w:rFonts w:cs="Dubai"/>
    </w:rPr>
  </w:style>
  <w:style w:type="paragraph" w:styleId="TOC3">
    <w:name w:val="toc 3"/>
    <w:basedOn w:val="Normal"/>
    <w:next w:val="Normal"/>
    <w:autoRedefine/>
    <w:uiPriority w:val="39"/>
    <w:unhideWhenUsed/>
    <w:pPr>
      <w:tabs>
        <w:tab w:val="right" w:leader="dot" w:pos="9310"/>
      </w:tabs>
      <w:bidi/>
      <w:spacing w:after="100"/>
      <w:jc w:val="left"/>
    </w:pPr>
    <w:rPr>
      <w:rFonts w:cs="Duba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التصنيف الأصلي مقارنةً بالتصنيف الصحيح</a:t>
            </a:r>
          </a:p>
        </c:rich>
      </c:tx>
      <c:overlay val="0"/>
    </c:title>
    <c:plotArea>
      <c:layout/>
      <c:barChart>
        <c:barDir val="bar"/>
        <c:grouping val="clustered"/>
        <c:varyColors val="0"/>
        <c:ser>
          <c:idx val="0"/>
          <c:order val="0"/>
          <c:tx>
            <c:strRef>
              <c:f>Sheet1!$B$1</c:f>
              <c:strCache>
                <c:ptCount val="1"/>
                <c:pt idx="0">
                  <c:v>التصنيف الأصلي</c:v>
                </c:pt>
              </c:strCache>
            </c:strRef>
          </c:tx>
          <c:spPr>
            <a:solidFill>
              <a:srgbClr val="2E5090"/>
            </a:solidFill>
            <a:ln>
              <a:solidFill>
                <a:srgbClr val="2E5090"/>
              </a:solidFill>
            </a:ln>
          </c:spPr>
          <c:cat>
            <c:strRef>
              <c:f>Sheet1!$A$2:$A$5</c:f>
              <c:strCache>
                <c:ptCount val="4"/>
                <c:pt idx="0">
                  <c:v>شكوى</c:v>
                </c:pt>
                <c:pt idx="1">
                  <c:v>استفسار</c:v>
                </c:pt>
                <c:pt idx="2">
                  <c:v>طلب</c:v>
                </c:pt>
                <c:pt idx="3">
                  <c:v>شكر وثناء</c:v>
                </c:pt>
              </c:strCache>
            </c:strRef>
          </c:cat>
          <c:val>
            <c:numRef>
              <c:f>Sheet1!$B$2:$B$5</c:f>
              <c:numCache>
                <c:formatCode>General</c:formatCode>
                <c:ptCount val="4"/>
                <c:pt idx="0">
                  <c:v>0.0</c:v>
                </c:pt>
                <c:pt idx="1">
                  <c:v>50.0</c:v>
                </c:pt>
                <c:pt idx="2">
                  <c:v>0.0</c:v>
                </c:pt>
                <c:pt idx="3">
                  <c:v>0.0</c:v>
                </c:pt>
              </c:numCache>
            </c:numRef>
          </c:val>
        </c:ser>
        <c:ser>
          <c:idx val="1"/>
          <c:order val="1"/>
          <c:tx>
            <c:strRef>
              <c:f>Sheet1!$C$1</c:f>
              <c:strCache>
                <c:ptCount val="1"/>
                <c:pt idx="0">
                  <c:v>التصنيف الصحيح</c:v>
                </c:pt>
              </c:strCache>
            </c:strRef>
          </c:tx>
          <c:spPr>
            <a:solidFill>
              <a:srgbClr val="B68A35"/>
            </a:solidFill>
            <a:ln>
              <a:solidFill>
                <a:srgbClr val="B68A35"/>
              </a:solidFill>
            </a:ln>
          </c:spPr>
          <c:cat>
            <c:strRef>
              <c:f>Sheet1!$A$2:$A$5</c:f>
              <c:strCache>
                <c:ptCount val="4"/>
                <c:pt idx="0">
                  <c:v>شكوى</c:v>
                </c:pt>
                <c:pt idx="1">
                  <c:v>استفسار</c:v>
                </c:pt>
                <c:pt idx="2">
                  <c:v>طلب</c:v>
                </c:pt>
                <c:pt idx="3">
                  <c:v>شكر وثناء</c:v>
                </c:pt>
              </c:strCache>
            </c:strRef>
          </c:cat>
          <c:val>
            <c:numRef>
              <c:f>Sheet1!$C$2:$C$5</c:f>
              <c:numCache>
                <c:formatCode>General</c:formatCode>
                <c:ptCount val="4"/>
                <c:pt idx="0">
                  <c:v>30.0</c:v>
                </c:pt>
                <c:pt idx="1">
                  <c:v>4.0</c:v>
                </c:pt>
                <c:pt idx="2">
                  <c:v>16.0</c:v>
                </c:pt>
                <c:pt idx="3">
                  <c:v>0.0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