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xlsx" ContentType="application/vnd.openxmlformats-officedocument.spreadsheetml.sheet"/>
  <Override PartName="/word/charts/chart1.xml" ContentType="application/vnd.openxmlformats-officedocument.drawingml.chart+xml"/>
  <Override PartName="/word/embeddings/chart1_data.xlsx" ContentType="application/vnd.openxmlformats-officedocument.spreadsheetml.shee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c="http://schemas.openxmlformats.org/drawingml/2006/chart" mc:Ignorable="w14 wp14">
  <w:body>
    <w:p>
      <w:pPr>
        <w:spacing w:before="0" w:after="240"/>
      </w:pPr>
    </w:p>
    <w:p>
      <w:pPr>
        <w:jc w:val="center"/>
      </w:pPr>
      <w:r>
        <w:drawing>
          <wp:inline xmlns:pic="http://schemas.openxmlformats.org/drawingml/2006/picture">
            <wp:extent cx="1508400" cy="986400"/>
            <wp:docPr id="1" name="Picture 1"/>
            <wp:cNvGraphicFramePr>
              <a:graphicFrameLocks noChangeAspect="1"/>
            </wp:cNvGraphicFramePr>
            <a:graphic>
              <a:graphicData uri="http://schemas.openxmlformats.org/drawingml/2006/picture">
                <pic:pic>
                  <pic:nvPicPr>
                    <pic:cNvPr id="0" name="fujairah-short-logo.png"/>
                    <pic:cNvPicPr/>
                  </pic:nvPicPr>
                  <pic:blipFill>
                    <a:blip r:embed="rId11"/>
                    <a:stretch>
                      <a:fillRect/>
                    </a:stretch>
                  </pic:blipFill>
                  <pic:spPr>
                    <a:xfrm>
                      <a:off x="0" y="0"/>
                      <a:ext cx="1508400" cy="986400"/>
                    </a:xfrm>
                    <a:prstGeom prst="rect"/>
                  </pic:spPr>
                </pic:pic>
              </a:graphicData>
            </a:graphic>
          </wp:inline>
        </w:drawing>
      </w:r>
    </w:p>
    <w:p>
      <w:pPr>
        <w:spacing w:before="160" w:after="160"/>
        <w:pBdr>
          <w:bottom w:val="single" w:sz="12" w:space="4" w:color="B68A35"/>
        </w:pBdr>
      </w:pPr>
    </w:p>
    <w:p>
      <w:pPr>
        <w:pStyle w:val="Heading1"/>
        <w:spacing w:before="240" w:after="240"/>
        <w:jc w:val="center"/>
      </w:pPr>
      <w:r>
        <w:rPr>
          <w:rFonts w:ascii="Calibri" w:hAnsi="Calibri" w:eastAsia="Calibri" w:cs="Calibri"/>
          <w:b/>
          <w:color w:val="B68A35"/>
          <w:sz w:val="32"/>
          <w:szCs w:val="32"/>
        </w:rPr>
        <w:t>Customer Inquiry Analysis Report — January - December 2025</w:t>
      </w:r>
      <w:bookmarkStart w:id="1" w:name="_Toc000000001"/>
      <w:bookmarkEnd w:id="1"/>
    </w:p>
    <w:p>
      <w:pPr>
        <w:spacing w:before="160" w:after="160"/>
        <w:pBdr>
          <w:bottom w:val="single" w:sz="12" w:space="4" w:color="B68A35"/>
        </w:pBdr>
      </w:pPr>
    </w:p>
    <w:p>
      <w:pPr>
        <w:spacing w:before="0" w:after="320"/>
      </w:pPr>
    </w:p>
    <w:p>
      <w:pPr>
        <w:spacing w:after="160"/>
        <w:jc w:val="center"/>
      </w:pPr>
      <w:r>
        <w:rPr>
          <w:rFonts w:ascii="Calibri" w:hAnsi="Calibri" w:eastAsia="Calibri" w:cs="Calibri"/>
          <w:b/>
          <w:i w:val="0"/>
          <w:color w:val="B68A35"/>
          <w:sz w:val="28"/>
          <w:szCs w:val="24"/>
          <w:u w:val="none"/>
        </w:rPr>
        <w:t>January - December 2025</w:t>
      </w:r>
    </w:p>
    <w:p>
      <w:pPr>
        <w:spacing w:before="0" w:after="320"/>
      </w:pPr>
    </w:p>
    <w:p>
      <w:pPr>
        <w:spacing w:after="160"/>
        <w:jc w:val="center"/>
      </w:pPr>
      <w:r>
        <w:rPr>
          <w:rFonts w:ascii="Calibri" w:hAnsi="Calibri" w:eastAsia="Calibri" w:cs="Calibri"/>
          <w:b/>
          <w:i w:val="0"/>
          <w:color w:val="B68A35"/>
          <w:sz w:val="28"/>
          <w:szCs w:val="24"/>
          <w:u w:val="none"/>
        </w:rPr>
        <w:t>Total Closed Cases: 49</w:t>
      </w:r>
    </w:p>
    <w:p>
      <w:pPr>
        <w:spacing w:after="160"/>
        <w:jc w:val="center"/>
      </w:pPr>
      <w:r>
        <w:rPr>
          <w:rFonts w:ascii="Calibri" w:hAnsi="Calibri" w:eastAsia="Calibri" w:cs="Calibri"/>
          <w:b/>
          <w:i w:val="0"/>
          <w:color w:val="B68A35"/>
          <w:sz w:val="28"/>
          <w:szCs w:val="24"/>
          <w:u w:val="none"/>
        </w:rPr>
        <w:t>Complaints: 60.0% of Total Contact</w:t>
      </w:r>
    </w:p>
    <w:p>
      <w:pPr>
        <w:spacing w:after="160"/>
        <w:jc w:val="center"/>
      </w:pPr>
      <w:r>
        <w:rPr>
          <w:rFonts w:ascii="Calibri" w:hAnsi="Calibri" w:eastAsia="Calibri" w:cs="Calibri"/>
          <w:b/>
          <w:i w:val="0"/>
          <w:color w:val="B68A35"/>
          <w:sz w:val="28"/>
          <w:szCs w:val="24"/>
          <w:u w:val="none"/>
        </w:rPr>
        <w:t>On-Time Closure Rate: 98%</w:t>
      </w:r>
    </w:p>
    <w:p>
      <w:pPr>
        <w:spacing w:before="0" w:after="640"/>
      </w:pPr>
    </w:p>
    <w:p>
      <w:pPr>
        <w:spacing w:after="0"/>
        <w:jc w:val="center"/>
      </w:pPr>
      <w:r>
        <w:rPr>
          <w:rFonts w:ascii="Calibri" w:hAnsi="Calibri" w:eastAsia="Calibri" w:cs="Calibri"/>
          <w:b w:val="0"/>
          <w:i w:val="0"/>
          <w:color w:val="606060"/>
          <w:sz w:val="24"/>
          <w:szCs w:val="24"/>
          <w:u w:val="none"/>
        </w:rPr>
        <w:t>Fujairah Police  |  2026-05-14  |  Integrated Business Intelligence Analysis</w:t>
      </w:r>
    </w:p>
    <w:p>
      <w:r>
        <w:br w:type="page"/>
      </w:r>
    </w:p>
    <w:sdt>
      <w:sdtPr>
        <w:docPartObj>
          <w:docPartGallery w:val="Table of Contents"/>
          <w:docPartUnique/>
        </w:docPartObj>
      </w:sdtPr>
      <w:sdtEndPr/>
      <w:sdtContent>
        <w:p>
          <w:pPr>
            <w:pStyle w:val="TOCHeading"/>
          </w:pPr>
          <w:r>
            <w:rPr>
              <w:rFonts w:ascii="Calibri" w:hAnsi="Calibri" w:cs="Calibri"/>
              <w:color w:val="FFFFFF"/>
            </w:rPr>
            <w:t>Table of Contents</w:t>
          </w:r>
        </w:p>
        <w:p>
          <w:pPr>
            <w:pStyle w:val="TOC1"/>
          </w:pPr>
          <w:r>
            <w:fldChar w:fldCharType="begin"/>
          </w:r>
          <w:r>
            <w:instrText xml:space="preserve"> TOC \o "1-3" \h \z \u </w:instrText>
          </w:r>
          <w:r>
            <w:fldChar w:fldCharType="separate"/>
          </w:r>
          <w:hyperlink w:anchor="_Toc000000002" w:history="1">
            <w:r>
              <w:rPr>
                <w:rStyle w:val="Hyperlink"/>
                <w:rFonts w:ascii="Calibri" w:hAnsi="Calibri" w:cs="Calibri"/>
                <w:noProof/>
              </w:rPr>
              <w:t>First: Executive Summary — Key Analyses</w:t>
            </w:r>
            <w:r>
              <w:rPr>
                <w:noProof/>
                <w:webHidden/>
              </w:rPr>
              <w:tab/>
            </w:r>
            <w:r>
              <w:fldChar w:fldCharType="begin"/>
            </w:r>
            <w:r>
              <w:instrText xml:space="preserve"> PAGEREF _Toc000000002 \h </w:instrText>
            </w:r>
            <w:r>
              <w:rPr>
                <w:noProof/>
                <w:webHidden/>
              </w:rPr>
              <w:fldChar w:fldCharType="separate"/>
            </w:r>
            <w:r>
              <w:rPr>
                <w:noProof/>
                <w:webHidden/>
              </w:rPr>
              <w:t>1</w:t>
            </w:r>
            <w:r>
              <w:rPr>
                <w:noProof/>
                <w:webHidden/>
              </w:rPr>
              <w:fldChar w:fldCharType="end"/>
            </w:r>
          </w:hyperlink>
        </w:p>
        <w:p>
          <w:pPr>
            <w:pStyle w:val="TOC2"/>
          </w:pPr>
          <w:hyperlink w:anchor="_Toc000000003" w:history="1">
            <w:r>
              <w:rPr>
                <w:rStyle w:val="Hyperlink"/>
                <w:rFonts w:ascii="Calibri" w:hAnsi="Calibri" w:cs="Calibri"/>
                <w:noProof/>
              </w:rPr>
              <w:t>Key Findings</w:t>
            </w:r>
            <w:r>
              <w:rPr>
                <w:noProof/>
                <w:webHidden/>
              </w:rPr>
              <w:tab/>
            </w:r>
            <w:r>
              <w:fldChar w:fldCharType="begin"/>
            </w:r>
            <w:r>
              <w:instrText xml:space="preserve"> PAGEREF _Toc000000003 \h </w:instrText>
            </w:r>
            <w:r>
              <w:rPr>
                <w:noProof/>
                <w:webHidden/>
              </w:rPr>
              <w:fldChar w:fldCharType="separate"/>
            </w:r>
            <w:r>
              <w:rPr>
                <w:noProof/>
                <w:webHidden/>
              </w:rPr>
              <w:t>1</w:t>
            </w:r>
            <w:r>
              <w:rPr>
                <w:noProof/>
                <w:webHidden/>
              </w:rPr>
              <w:fldChar w:fldCharType="end"/>
            </w:r>
          </w:hyperlink>
        </w:p>
        <w:p>
          <w:pPr>
            <w:pStyle w:val="TOC1"/>
          </w:pPr>
          <w:hyperlink w:anchor="_Toc000000004" w:history="1">
            <w:r>
              <w:rPr>
                <w:rStyle w:val="Hyperlink"/>
                <w:rFonts w:ascii="Calibri" w:hAnsi="Calibri" w:cs="Calibri"/>
                <w:noProof/>
              </w:rPr>
              <w:t>Second: Methodology and Nature of Sources</w:t>
            </w:r>
            <w:r>
              <w:rPr>
                <w:noProof/>
                <w:webHidden/>
              </w:rPr>
              <w:tab/>
            </w:r>
            <w:r>
              <w:fldChar w:fldCharType="begin"/>
            </w:r>
            <w:r>
              <w:instrText xml:space="preserve"> PAGEREF _Toc000000004 \h </w:instrText>
            </w:r>
            <w:r>
              <w:rPr>
                <w:noProof/>
                <w:webHidden/>
              </w:rPr>
              <w:fldChar w:fldCharType="separate"/>
            </w:r>
            <w:r>
              <w:rPr>
                <w:noProof/>
                <w:webHidden/>
              </w:rPr>
              <w:t>1</w:t>
            </w:r>
            <w:r>
              <w:rPr>
                <w:noProof/>
                <w:webHidden/>
              </w:rPr>
              <w:fldChar w:fldCharType="end"/>
            </w:r>
          </w:hyperlink>
        </w:p>
        <w:p>
          <w:pPr>
            <w:pStyle w:val="TOC2"/>
          </w:pPr>
          <w:hyperlink w:anchor="_Toc000000005" w:history="1">
            <w:r>
              <w:rPr>
                <w:rStyle w:val="Hyperlink"/>
                <w:rFonts w:ascii="Calibri" w:hAnsi="Calibri" w:cs="Calibri"/>
                <w:noProof/>
              </w:rPr>
              <w:t>2.1  Sources Analysed</w:t>
            </w:r>
            <w:r>
              <w:rPr>
                <w:noProof/>
                <w:webHidden/>
              </w:rPr>
              <w:tab/>
            </w:r>
            <w:r>
              <w:fldChar w:fldCharType="begin"/>
            </w:r>
            <w:r>
              <w:instrText xml:space="preserve"> PAGEREF _Toc000000005 \h </w:instrText>
            </w:r>
            <w:r>
              <w:rPr>
                <w:noProof/>
                <w:webHidden/>
              </w:rPr>
              <w:fldChar w:fldCharType="separate"/>
            </w:r>
            <w:r>
              <w:rPr>
                <w:noProof/>
                <w:webHidden/>
              </w:rPr>
              <w:t>1</w:t>
            </w:r>
            <w:r>
              <w:rPr>
                <w:noProof/>
                <w:webHidden/>
              </w:rPr>
              <w:fldChar w:fldCharType="end"/>
            </w:r>
          </w:hyperlink>
        </w:p>
        <w:p>
          <w:pPr>
            <w:pStyle w:val="TOC2"/>
          </w:pPr>
          <w:hyperlink w:anchor="_Toc000000006" w:history="1">
            <w:r>
              <w:rPr>
                <w:rStyle w:val="Hyperlink"/>
                <w:rFonts w:ascii="Calibri" w:hAnsi="Calibri" w:cs="Calibri"/>
                <w:noProof/>
              </w:rPr>
              <w:t>2.2  Classification Methodology</w:t>
            </w:r>
            <w:r>
              <w:rPr>
                <w:noProof/>
                <w:webHidden/>
              </w:rPr>
              <w:tab/>
            </w:r>
            <w:r>
              <w:fldChar w:fldCharType="begin"/>
            </w:r>
            <w:r>
              <w:instrText xml:space="preserve"> PAGEREF _Toc000000006 \h </w:instrText>
            </w:r>
            <w:r>
              <w:rPr>
                <w:noProof/>
                <w:webHidden/>
              </w:rPr>
              <w:fldChar w:fldCharType="separate"/>
            </w:r>
            <w:r>
              <w:rPr>
                <w:noProof/>
                <w:webHidden/>
              </w:rPr>
              <w:t>1</w:t>
            </w:r>
            <w:r>
              <w:rPr>
                <w:noProof/>
                <w:webHidden/>
              </w:rPr>
              <w:fldChar w:fldCharType="end"/>
            </w:r>
          </w:hyperlink>
        </w:p>
        <w:p>
          <w:pPr>
            <w:pStyle w:val="TOC2"/>
          </w:pPr>
          <w:hyperlink w:anchor="_Toc000000007" w:history="1">
            <w:r>
              <w:rPr>
                <w:rStyle w:val="Hyperlink"/>
                <w:rFonts w:ascii="Calibri" w:hAnsi="Calibri" w:cs="Calibri"/>
                <w:noProof/>
              </w:rPr>
              <w:t>2.3  Fields Analysed</w:t>
            </w:r>
            <w:r>
              <w:rPr>
                <w:noProof/>
                <w:webHidden/>
              </w:rPr>
              <w:tab/>
            </w:r>
            <w:r>
              <w:fldChar w:fldCharType="begin"/>
            </w:r>
            <w:r>
              <w:instrText xml:space="preserve"> PAGEREF _Toc000000007 \h </w:instrText>
            </w:r>
            <w:r>
              <w:rPr>
                <w:noProof/>
                <w:webHidden/>
              </w:rPr>
              <w:fldChar w:fldCharType="separate"/>
            </w:r>
            <w:r>
              <w:rPr>
                <w:noProof/>
                <w:webHidden/>
              </w:rPr>
              <w:t>1</w:t>
            </w:r>
            <w:r>
              <w:rPr>
                <w:noProof/>
                <w:webHidden/>
              </w:rPr>
              <w:fldChar w:fldCharType="end"/>
            </w:r>
          </w:hyperlink>
        </w:p>
        <w:p>
          <w:pPr>
            <w:pStyle w:val="TOC1"/>
          </w:pPr>
          <w:hyperlink w:anchor="_Toc000000008" w:history="1">
            <w:r>
              <w:rPr>
                <w:rStyle w:val="Hyperlink"/>
                <w:rFonts w:ascii="Calibri" w:hAnsi="Calibri" w:cs="Calibri"/>
                <w:noProof/>
              </w:rPr>
              <w:t>Third: Analysis One — Contact Type Classification Map</w:t>
            </w:r>
            <w:r>
              <w:rPr>
                <w:noProof/>
                <w:webHidden/>
              </w:rPr>
              <w:tab/>
            </w:r>
            <w:r>
              <w:fldChar w:fldCharType="begin"/>
            </w:r>
            <w:r>
              <w:instrText xml:space="preserve"> PAGEREF _Toc000000008 \h </w:instrText>
            </w:r>
            <w:r>
              <w:rPr>
                <w:noProof/>
                <w:webHidden/>
              </w:rPr>
              <w:fldChar w:fldCharType="separate"/>
            </w:r>
            <w:r>
              <w:rPr>
                <w:noProof/>
                <w:webHidden/>
              </w:rPr>
              <w:t>1</w:t>
            </w:r>
            <w:r>
              <w:rPr>
                <w:noProof/>
                <w:webHidden/>
              </w:rPr>
              <w:fldChar w:fldCharType="end"/>
            </w:r>
          </w:hyperlink>
        </w:p>
        <w:p>
          <w:pPr>
            <w:pStyle w:val="TOC2"/>
          </w:pPr>
          <w:hyperlink w:anchor="_Toc000000009" w:history="1">
            <w:r>
              <w:rPr>
                <w:rStyle w:val="Hyperlink"/>
                <w:rFonts w:ascii="Calibri" w:hAnsi="Calibri" w:cs="Calibri"/>
                <w:noProof/>
              </w:rPr>
              <w:t>3.1  Actual Contact Type Distribution</w:t>
            </w:r>
            <w:r>
              <w:rPr>
                <w:noProof/>
                <w:webHidden/>
              </w:rPr>
              <w:tab/>
            </w:r>
            <w:r>
              <w:fldChar w:fldCharType="begin"/>
            </w:r>
            <w:r>
              <w:instrText xml:space="preserve"> PAGEREF _Toc000000009 \h </w:instrText>
            </w:r>
            <w:r>
              <w:rPr>
                <w:noProof/>
                <w:webHidden/>
              </w:rPr>
              <w:fldChar w:fldCharType="separate"/>
            </w:r>
            <w:r>
              <w:rPr>
                <w:noProof/>
                <w:webHidden/>
              </w:rPr>
              <w:t>1</w:t>
            </w:r>
            <w:r>
              <w:rPr>
                <w:noProof/>
                <w:webHidden/>
              </w:rPr>
              <w:fldChar w:fldCharType="end"/>
            </w:r>
          </w:hyperlink>
        </w:p>
        <w:p>
          <w:pPr>
            <w:pStyle w:val="TOC2"/>
          </w:pPr>
          <w:hyperlink w:anchor="_Toc000000010" w:history="1">
            <w:r>
              <w:rPr>
                <w:rStyle w:val="Hyperlink"/>
                <w:rFonts w:ascii="Calibri" w:hAnsi="Calibri" w:cs="Calibri"/>
                <w:noProof/>
              </w:rPr>
              <w:t>3.2  Classification Accuracy — 92.0% of Cases Reclassified</w:t>
            </w:r>
            <w:r>
              <w:rPr>
                <w:noProof/>
                <w:webHidden/>
              </w:rPr>
              <w:tab/>
            </w:r>
            <w:r>
              <w:fldChar w:fldCharType="begin"/>
            </w:r>
            <w:r>
              <w:instrText xml:space="preserve"> PAGEREF _Toc000000010 \h </w:instrText>
            </w:r>
            <w:r>
              <w:rPr>
                <w:noProof/>
                <w:webHidden/>
              </w:rPr>
              <w:fldChar w:fldCharType="separate"/>
            </w:r>
            <w:r>
              <w:rPr>
                <w:noProof/>
                <w:webHidden/>
              </w:rPr>
              <w:t>1</w:t>
            </w:r>
            <w:r>
              <w:rPr>
                <w:noProof/>
                <w:webHidden/>
              </w:rPr>
              <w:fldChar w:fldCharType="end"/>
            </w:r>
          </w:hyperlink>
        </w:p>
        <w:p>
          <w:pPr>
            <w:pStyle w:val="TOC2"/>
          </w:pPr>
          <w:hyperlink w:anchor="_Toc000000011" w:history="1">
            <w:r>
              <w:rPr>
                <w:rStyle w:val="Hyperlink"/>
                <w:rFonts w:ascii="Calibri" w:hAnsi="Calibri" w:cs="Calibri"/>
                <w:noProof/>
              </w:rPr>
              <w:t>3.3  Complaints Breakdown (30 cases — 60.0%)</w:t>
            </w:r>
            <w:r>
              <w:rPr>
                <w:noProof/>
                <w:webHidden/>
              </w:rPr>
              <w:tab/>
            </w:r>
            <w:r>
              <w:fldChar w:fldCharType="begin"/>
            </w:r>
            <w:r>
              <w:instrText xml:space="preserve"> PAGEREF _Toc000000011 \h </w:instrText>
            </w:r>
            <w:r>
              <w:rPr>
                <w:noProof/>
                <w:webHidden/>
              </w:rPr>
              <w:fldChar w:fldCharType="separate"/>
            </w:r>
            <w:r>
              <w:rPr>
                <w:noProof/>
                <w:webHidden/>
              </w:rPr>
              <w:t>1</w:t>
            </w:r>
            <w:r>
              <w:rPr>
                <w:noProof/>
                <w:webHidden/>
              </w:rPr>
              <w:fldChar w:fldCharType="end"/>
            </w:r>
          </w:hyperlink>
        </w:p>
        <w:p>
          <w:pPr>
            <w:pStyle w:val="TOC2"/>
          </w:pPr>
          <w:hyperlink w:anchor="_Toc000000012" w:history="1">
            <w:r>
              <w:rPr>
                <w:rStyle w:val="Hyperlink"/>
                <w:rFonts w:ascii="Calibri" w:hAnsi="Calibri" w:cs="Calibri"/>
                <w:noProof/>
              </w:rPr>
              <w:t>3.4  Service Requests and Inquiries Breakdown</w:t>
            </w:r>
            <w:r>
              <w:rPr>
                <w:noProof/>
                <w:webHidden/>
              </w:rPr>
              <w:tab/>
            </w:r>
            <w:r>
              <w:fldChar w:fldCharType="begin"/>
            </w:r>
            <w:r>
              <w:instrText xml:space="preserve"> PAGEREF _Toc000000012 \h </w:instrText>
            </w:r>
            <w:r>
              <w:rPr>
                <w:noProof/>
                <w:webHidden/>
              </w:rPr>
              <w:fldChar w:fldCharType="separate"/>
            </w:r>
            <w:r>
              <w:rPr>
                <w:noProof/>
                <w:webHidden/>
              </w:rPr>
              <w:t>1</w:t>
            </w:r>
            <w:r>
              <w:rPr>
                <w:noProof/>
                <w:webHidden/>
              </w:rPr>
              <w:fldChar w:fldCharType="end"/>
            </w:r>
          </w:hyperlink>
        </w:p>
        <w:p>
          <w:pPr>
            <w:pStyle w:val="TOC2"/>
          </w:pPr>
          <w:hyperlink w:anchor="_Toc000000013" w:history="1">
            <w:r>
              <w:rPr>
                <w:rStyle w:val="Hyperlink"/>
                <w:rFonts w:ascii="Calibri" w:hAnsi="Calibri" w:cs="Calibri"/>
                <w:noProof/>
              </w:rPr>
              <w:t>3.5  Most Recurring Inquiries (4 cases — 8.0%) — the category with the highest potential for full digital self-service deflection</w:t>
            </w:r>
            <w:r>
              <w:rPr>
                <w:noProof/>
                <w:webHidden/>
              </w:rPr>
              <w:tab/>
            </w:r>
            <w:r>
              <w:fldChar w:fldCharType="begin"/>
            </w:r>
            <w:r>
              <w:instrText xml:space="preserve"> PAGEREF _Toc000000013 \h </w:instrText>
            </w:r>
            <w:r>
              <w:rPr>
                <w:noProof/>
                <w:webHidden/>
              </w:rPr>
              <w:fldChar w:fldCharType="separate"/>
            </w:r>
            <w:r>
              <w:rPr>
                <w:noProof/>
                <w:webHidden/>
              </w:rPr>
              <w:t>1</w:t>
            </w:r>
            <w:r>
              <w:rPr>
                <w:noProof/>
                <w:webHidden/>
              </w:rPr>
              <w:fldChar w:fldCharType="end"/>
            </w:r>
          </w:hyperlink>
        </w:p>
        <w:p>
          <w:pPr>
            <w:pStyle w:val="TOC1"/>
          </w:pPr>
          <w:hyperlink w:anchor="_Toc000000014" w:history="1">
            <w:r>
              <w:rPr>
                <w:rStyle w:val="Hyperlink"/>
                <w:rFonts w:ascii="Calibri" w:hAnsi="Calibri" w:cs="Calibri"/>
                <w:noProof/>
              </w:rPr>
              <w:t>Fourth: Analysis Two — Customer Journey Challenges</w:t>
            </w:r>
            <w:r>
              <w:rPr>
                <w:noProof/>
                <w:webHidden/>
              </w:rPr>
              <w:tab/>
            </w:r>
            <w:r>
              <w:fldChar w:fldCharType="begin"/>
            </w:r>
            <w:r>
              <w:instrText xml:space="preserve"> PAGEREF _Toc000000014 \h </w:instrText>
            </w:r>
            <w:r>
              <w:rPr>
                <w:noProof/>
                <w:webHidden/>
              </w:rPr>
              <w:fldChar w:fldCharType="separate"/>
            </w:r>
            <w:r>
              <w:rPr>
                <w:noProof/>
                <w:webHidden/>
              </w:rPr>
              <w:t>1</w:t>
            </w:r>
            <w:r>
              <w:rPr>
                <w:noProof/>
                <w:webHidden/>
              </w:rPr>
              <w:fldChar w:fldCharType="end"/>
            </w:r>
          </w:hyperlink>
        </w:p>
        <w:p>
          <w:pPr>
            <w:pStyle w:val="TOC1"/>
          </w:pPr>
          <w:hyperlink w:anchor="_Toc000000015" w:history="1">
            <w:r>
              <w:rPr>
                <w:rStyle w:val="Hyperlink"/>
                <w:rFonts w:ascii="Calibri" w:hAnsi="Calibri" w:cs="Calibri"/>
                <w:noProof/>
              </w:rPr>
              <w:t>Fifth: Analysis Three — Digital Gaps Analysis</w:t>
            </w:r>
            <w:r>
              <w:rPr>
                <w:noProof/>
                <w:webHidden/>
              </w:rPr>
              <w:tab/>
            </w:r>
            <w:r>
              <w:fldChar w:fldCharType="begin"/>
            </w:r>
            <w:r>
              <w:instrText xml:space="preserve"> PAGEREF _Toc000000015 \h </w:instrText>
            </w:r>
            <w:r>
              <w:rPr>
                <w:noProof/>
                <w:webHidden/>
              </w:rPr>
              <w:fldChar w:fldCharType="separate"/>
            </w:r>
            <w:r>
              <w:rPr>
                <w:noProof/>
                <w:webHidden/>
              </w:rPr>
              <w:t>1</w:t>
            </w:r>
            <w:r>
              <w:rPr>
                <w:noProof/>
                <w:webHidden/>
              </w:rPr>
              <w:fldChar w:fldCharType="end"/>
            </w:r>
          </w:hyperlink>
        </w:p>
        <w:p>
          <w:pPr>
            <w:pStyle w:val="TOC2"/>
          </w:pPr>
          <w:hyperlink w:anchor="_Toc000000016" w:history="1">
            <w:r>
              <w:rPr>
                <w:rStyle w:val="Hyperlink"/>
                <w:rFonts w:ascii="Calibri" w:hAnsi="Calibri" w:cs="Calibri"/>
                <w:noProof/>
              </w:rPr>
              <w:t>5.1  Consolidated Gaps Table</w:t>
            </w:r>
            <w:r>
              <w:rPr>
                <w:noProof/>
                <w:webHidden/>
              </w:rPr>
              <w:tab/>
            </w:r>
            <w:r>
              <w:fldChar w:fldCharType="begin"/>
            </w:r>
            <w:r>
              <w:instrText xml:space="preserve"> PAGEREF _Toc000000016 \h </w:instrText>
            </w:r>
            <w:r>
              <w:rPr>
                <w:noProof/>
                <w:webHidden/>
              </w:rPr>
              <w:fldChar w:fldCharType="separate"/>
            </w:r>
            <w:r>
              <w:rPr>
                <w:noProof/>
                <w:webHidden/>
              </w:rPr>
              <w:t>1</w:t>
            </w:r>
            <w:r>
              <w:rPr>
                <w:noProof/>
                <w:webHidden/>
              </w:rPr>
              <w:fldChar w:fldCharType="end"/>
            </w:r>
          </w:hyperlink>
        </w:p>
        <w:p>
          <w:pPr>
            <w:pStyle w:val="TOC2"/>
          </w:pPr>
          <w:hyperlink w:anchor="_Toc000000017" w:history="1">
            <w:r>
              <w:rPr>
                <w:rStyle w:val="Hyperlink"/>
                <w:rFonts w:ascii="Calibri" w:hAnsi="Calibri" w:cs="Calibri"/>
                <w:noProof/>
              </w:rPr>
              <w:t>5.2  Root Causes of Continued Issues</w:t>
            </w:r>
            <w:r>
              <w:rPr>
                <w:noProof/>
                <w:webHidden/>
              </w:rPr>
              <w:tab/>
            </w:r>
            <w:r>
              <w:fldChar w:fldCharType="begin"/>
            </w:r>
            <w:r>
              <w:instrText xml:space="preserve"> PAGEREF _Toc000000017 \h </w:instrText>
            </w:r>
            <w:r>
              <w:rPr>
                <w:noProof/>
                <w:webHidden/>
              </w:rPr>
              <w:fldChar w:fldCharType="separate"/>
            </w:r>
            <w:r>
              <w:rPr>
                <w:noProof/>
                <w:webHidden/>
              </w:rPr>
              <w:t>1</w:t>
            </w:r>
            <w:r>
              <w:rPr>
                <w:noProof/>
                <w:webHidden/>
              </w:rPr>
              <w:fldChar w:fldCharType="end"/>
            </w:r>
          </w:hyperlink>
        </w:p>
        <w:p>
          <w:pPr>
            <w:pStyle w:val="TOC1"/>
          </w:pPr>
          <w:hyperlink w:anchor="_Toc000000018" w:history="1">
            <w:r>
              <w:rPr>
                <w:rStyle w:val="Hyperlink"/>
                <w:rFonts w:ascii="Calibri" w:hAnsi="Calibri" w:cs="Calibri"/>
                <w:noProof/>
              </w:rPr>
              <w:t>Sixth: Analysis Four — Digital Transformation Plan</w:t>
            </w:r>
            <w:r>
              <w:rPr>
                <w:noProof/>
                <w:webHidden/>
              </w:rPr>
              <w:tab/>
            </w:r>
            <w:r>
              <w:fldChar w:fldCharType="begin"/>
            </w:r>
            <w:r>
              <w:instrText xml:space="preserve"> PAGEREF _Toc000000018 \h </w:instrText>
            </w:r>
            <w:r>
              <w:rPr>
                <w:noProof/>
                <w:webHidden/>
              </w:rPr>
              <w:fldChar w:fldCharType="separate"/>
            </w:r>
            <w:r>
              <w:rPr>
                <w:noProof/>
                <w:webHidden/>
              </w:rPr>
              <w:t>1</w:t>
            </w:r>
            <w:r>
              <w:rPr>
                <w:noProof/>
                <w:webHidden/>
              </w:rPr>
              <w:fldChar w:fldCharType="end"/>
            </w:r>
          </w:hyperlink>
        </w:p>
        <w:p>
          <w:pPr>
            <w:pStyle w:val="TOC2"/>
          </w:pPr>
          <w:hyperlink w:anchor="_Toc000000019" w:history="1">
            <w:r>
              <w:rPr>
                <w:rStyle w:val="Hyperlink"/>
                <w:rFonts w:ascii="Calibri" w:hAnsi="Calibri" w:cs="Calibri"/>
                <w:noProof/>
              </w:rPr>
              <w:t>6.1  Priority Frequently Asked Questions</w:t>
            </w:r>
            <w:r>
              <w:rPr>
                <w:noProof/>
                <w:webHidden/>
              </w:rPr>
              <w:tab/>
            </w:r>
            <w:r>
              <w:fldChar w:fldCharType="begin"/>
            </w:r>
            <w:r>
              <w:instrText xml:space="preserve"> PAGEREF _Toc000000019 \h </w:instrText>
            </w:r>
            <w:r>
              <w:rPr>
                <w:noProof/>
                <w:webHidden/>
              </w:rPr>
              <w:fldChar w:fldCharType="separate"/>
            </w:r>
            <w:r>
              <w:rPr>
                <w:noProof/>
                <w:webHidden/>
              </w:rPr>
              <w:t>1</w:t>
            </w:r>
            <w:r>
              <w:rPr>
                <w:noProof/>
                <w:webHidden/>
              </w:rPr>
              <w:fldChar w:fldCharType="end"/>
            </w:r>
          </w:hyperlink>
        </w:p>
        <w:p>
          <w:pPr>
            <w:pStyle w:val="TOC2"/>
          </w:pPr>
          <w:hyperlink w:anchor="_Toc000000020" w:history="1">
            <w:r>
              <w:rPr>
                <w:rStyle w:val="Hyperlink"/>
                <w:rFonts w:ascii="Calibri" w:hAnsi="Calibri" w:cs="Calibri"/>
                <w:noProof/>
              </w:rPr>
              <w:t>6.2  Pathway to Eliminate 4+ Contact Cases through Proactive Notification</w:t>
            </w:r>
            <w:r>
              <w:rPr>
                <w:noProof/>
                <w:webHidden/>
              </w:rPr>
              <w:tab/>
            </w:r>
            <w:r>
              <w:fldChar w:fldCharType="begin"/>
            </w:r>
            <w:r>
              <w:instrText xml:space="preserve"> PAGEREF _Toc000000020 \h </w:instrText>
            </w:r>
            <w:r>
              <w:rPr>
                <w:noProof/>
                <w:webHidden/>
              </w:rPr>
              <w:fldChar w:fldCharType="separate"/>
            </w:r>
            <w:r>
              <w:rPr>
                <w:noProof/>
                <w:webHidden/>
              </w:rPr>
              <w:t>1</w:t>
            </w:r>
            <w:r>
              <w:rPr>
                <w:noProof/>
                <w:webHidden/>
              </w:rPr>
              <w:fldChar w:fldCharType="end"/>
            </w:r>
          </w:hyperlink>
        </w:p>
        <w:p>
          <w:pPr>
            <w:pStyle w:val="TOC1"/>
          </w:pPr>
          <w:hyperlink w:anchor="_Toc000000021" w:history="1">
            <w:r>
              <w:rPr>
                <w:rStyle w:val="Hyperlink"/>
                <w:rFonts w:ascii="Calibri" w:hAnsi="Calibri" w:cs="Calibri"/>
                <w:noProof/>
              </w:rPr>
              <w:t>Seventh: AI-Powered Use Cases</w:t>
            </w:r>
            <w:r>
              <w:rPr>
                <w:noProof/>
                <w:webHidden/>
              </w:rPr>
              <w:tab/>
            </w:r>
            <w:r>
              <w:fldChar w:fldCharType="begin"/>
            </w:r>
            <w:r>
              <w:instrText xml:space="preserve"> PAGEREF _Toc000000021 \h </w:instrText>
            </w:r>
            <w:r>
              <w:rPr>
                <w:noProof/>
                <w:webHidden/>
              </w:rPr>
              <w:fldChar w:fldCharType="separate"/>
            </w:r>
            <w:r>
              <w:rPr>
                <w:noProof/>
                <w:webHidden/>
              </w:rPr>
              <w:t>1</w:t>
            </w:r>
            <w:r>
              <w:rPr>
                <w:noProof/>
                <w:webHidden/>
              </w:rPr>
              <w:fldChar w:fldCharType="end"/>
            </w:r>
          </w:hyperlink>
        </w:p>
        <w:p>
          <w:pPr>
            <w:pStyle w:val="TOC1"/>
          </w:pPr>
          <w:hyperlink w:anchor="_Toc000000022" w:history="1">
            <w:r>
              <w:rPr>
                <w:rStyle w:val="Hyperlink"/>
                <w:rFonts w:ascii="Calibri" w:hAnsi="Calibri" w:cs="Calibri"/>
                <w:noProof/>
              </w:rPr>
              <w:t>Eighth: Proposed Improvement Roadmap</w:t>
            </w:r>
            <w:r>
              <w:rPr>
                <w:noProof/>
                <w:webHidden/>
              </w:rPr>
              <w:tab/>
            </w:r>
            <w:r>
              <w:fldChar w:fldCharType="begin"/>
            </w:r>
            <w:r>
              <w:instrText xml:space="preserve"> PAGEREF _Toc000000022 \h </w:instrText>
            </w:r>
            <w:r>
              <w:rPr>
                <w:noProof/>
                <w:webHidden/>
              </w:rPr>
              <w:fldChar w:fldCharType="separate"/>
            </w:r>
            <w:r>
              <w:rPr>
                <w:noProof/>
                <w:webHidden/>
              </w:rPr>
              <w:t>1</w:t>
            </w:r>
            <w:r>
              <w:rPr>
                <w:noProof/>
                <w:webHidden/>
              </w:rPr>
              <w:fldChar w:fldCharType="end"/>
            </w:r>
          </w:hyperlink>
        </w:p>
        <w:p>
          <w:pPr>
            <w:pStyle w:val="TOC1"/>
          </w:pPr>
          <w:hyperlink w:anchor="_Toc000000023" w:history="1">
            <w:r>
              <w:rPr>
                <w:rStyle w:val="Hyperlink"/>
                <w:rFonts w:ascii="Calibri" w:hAnsi="Calibri" w:cs="Calibri"/>
                <w:noProof/>
              </w:rPr>
              <w:t>Ninth: Conclusion — From Data to Decision</w:t>
            </w:r>
            <w:r>
              <w:rPr>
                <w:noProof/>
                <w:webHidden/>
              </w:rPr>
              <w:tab/>
            </w:r>
            <w:r>
              <w:fldChar w:fldCharType="begin"/>
            </w:r>
            <w:r>
              <w:instrText xml:space="preserve"> PAGEREF _Toc000000023 \h </w:instrText>
            </w:r>
            <w:r>
              <w:rPr>
                <w:noProof/>
                <w:webHidden/>
              </w:rPr>
              <w:fldChar w:fldCharType="separate"/>
            </w:r>
            <w:r>
              <w:rPr>
                <w:noProof/>
                <w:webHidden/>
              </w:rPr>
              <w:t>1</w:t>
            </w:r>
            <w:r>
              <w:rPr>
                <w:noProof/>
                <w:webHidden/>
              </w:rPr>
              <w:fldChar w:fldCharType="end"/>
            </w:r>
          </w:hyperlink>
        </w:p>
        <w:p>
          <w:pPr>
            <w:pStyle w:val="TOC2"/>
          </w:pPr>
          <w:hyperlink w:anchor="_Toc000000024" w:history="1">
            <w:r>
              <w:rPr>
                <w:rStyle w:val="Hyperlink"/>
                <w:rFonts w:ascii="Calibri" w:hAnsi="Calibri" w:cs="Calibri"/>
                <w:noProof/>
              </w:rPr>
              <w:t>Three Transformation Pillars</w:t>
            </w:r>
            <w:r>
              <w:rPr>
                <w:noProof/>
                <w:webHidden/>
              </w:rPr>
              <w:tab/>
            </w:r>
            <w:r>
              <w:fldChar w:fldCharType="begin"/>
            </w:r>
            <w:r>
              <w:instrText xml:space="preserve"> PAGEREF _Toc000000024 \h </w:instrText>
            </w:r>
            <w:r>
              <w:rPr>
                <w:noProof/>
                <w:webHidden/>
              </w:rPr>
              <w:fldChar w:fldCharType="separate"/>
            </w:r>
            <w:r>
              <w:rPr>
                <w:noProof/>
                <w:webHidden/>
              </w:rPr>
              <w:t>1</w:t>
            </w:r>
            <w:r>
              <w:rPr>
                <w:noProof/>
                <w:webHidden/>
              </w:rPr>
              <w:fldChar w:fldCharType="end"/>
            </w:r>
          </w:hyperlink>
        </w:p>
        <w:p>
          <w:pPr>
            <w:pStyle w:val="TOC2"/>
          </w:pPr>
          <w:hyperlink w:anchor="_Toc000000025" w:history="1">
            <w:r>
              <w:rPr>
                <w:rStyle w:val="Hyperlink"/>
                <w:rFonts w:ascii="Calibri" w:hAnsi="Calibri" w:cs="Calibri"/>
                <w:noProof/>
              </w:rPr>
              <w:t>Expected Aggregate Impact:</w:t>
            </w:r>
            <w:r>
              <w:rPr>
                <w:noProof/>
                <w:webHidden/>
              </w:rPr>
              <w:tab/>
            </w:r>
            <w:r>
              <w:fldChar w:fldCharType="begin"/>
            </w:r>
            <w:r>
              <w:instrText xml:space="preserve"> PAGEREF _Toc000000025 \h </w:instrText>
            </w:r>
            <w:r>
              <w:rPr>
                <w:noProof/>
                <w:webHidden/>
              </w:rPr>
              <w:fldChar w:fldCharType="separate"/>
            </w:r>
            <w:r>
              <w:rPr>
                <w:noProof/>
                <w:webHidden/>
              </w:rPr>
              <w:t>1</w:t>
            </w:r>
            <w:r>
              <w:rPr>
                <w:noProof/>
                <w:webHidden/>
              </w:rPr>
              <w:fldChar w:fldCharType="end"/>
            </w:r>
          </w:hyperlink>
          <w:r>
            <w:fldChar w:fldCharType="end"/>
          </w:r>
        </w:p>
      </w:sdtContent>
    </w:sdt>
    <w:p>
      <w:r>
        <w:br w:type="page"/>
      </w:r>
    </w:p>
    <w:p>
      <w:pPr>
        <w:pStyle w:val="Heading1"/>
        <w:jc w:val="left"/>
      </w:pPr>
      <w:r>
        <w:rPr>
          <w:rFonts w:ascii="Calibri" w:hAnsi="Calibri" w:eastAsia="Calibri" w:cs="Calibri"/>
          <w:b/>
          <w:color w:val="B68A35"/>
          <w:sz w:val="32"/>
          <w:szCs w:val="32"/>
        </w:rPr>
        <w:t>First: Executive Summary — Key Analyses</w:t>
      </w:r>
      <w:bookmarkStart w:id="2" w:name="_Toc000000002"/>
      <w:bookmarkEnd w:id="2"/>
    </w:p>
    <w:p>
      <w:pPr>
        <w:spacing w:after="120"/>
        <w:jc w:val="both"/>
      </w:pPr>
      <w:r>
        <w:rPr>
          <w:rFonts w:ascii="Calibri" w:hAnsi="Calibri" w:eastAsia="Calibri" w:cs="Calibri"/>
          <w:b w:val="0"/>
          <w:i w:val="0"/>
          <w:color w:val="000000"/>
          <w:sz w:val="24"/>
          <w:szCs w:val="24"/>
          <w:u w:val="none"/>
        </w:rPr>
        <w:t>This report presents an in-depth analysis of 50 inquiry cases extracted from the 'CRM System Export', benchmarked against the 'Service Guide and Frequently Asked Questions', covering the period from January to December 2025. Its aim is to convert raw data into actionable operational decisions rather than mere descriptive figures. The critical finding: 92.0% of cases were misclassified in the system, and upon correcting this deficiency it became apparent that complaints actually account for 60.0% of total workload, meaning the system had been managed with a distorted understanding of customer needs.</w:t>
      </w:r>
    </w:p>
    <w:p>
      <w:pPr>
        <w:pStyle w:val="Heading2"/>
        <w:jc w:val="left"/>
      </w:pPr>
      <w:r>
        <w:rPr>
          <w:rFonts w:ascii="Calibri" w:hAnsi="Calibri" w:eastAsia="Calibri" w:cs="Calibri"/>
          <w:b/>
          <w:color w:val="B68A35"/>
          <w:sz w:val="26"/>
          <w:szCs w:val="26"/>
        </w:rPr>
        <w:t>Key Findings</w:t>
      </w:r>
      <w:bookmarkStart w:id="3" w:name="_Toc000000003"/>
      <w:bookmarkEnd w:id="3"/>
    </w:p>
    <w:p>
      <w:pPr>
        <w:spacing w:after="120"/>
        <w:jc w:val="both"/>
      </w:pPr>
      <w:r>
        <w:rPr>
          <w:rFonts w:ascii="Calibri" w:hAnsi="Calibri" w:eastAsia="Calibri" w:cs="Calibri"/>
          <w:b w:val="0"/>
          <w:i w:val="0"/>
          <w:color w:val="000000"/>
          <w:sz w:val="24"/>
          <w:szCs w:val="24"/>
          <w:u w:val="none"/>
        </w:rPr>
        <w:t>Core Message: The convergence of a 92.0% misclassification rate with 8 structural friction points distributed across 50 cases reveals that the real problem lies not in the performance of the operational team — which demonstrated its competence with a closure rate of 98.0% — but in the informational and digital infrastructure that feeds and guides this team's decisions. Addressing these gaps — particularly launching digital channels for traffic fine appeals and activating proactive notifications that directly affect 11 cases — will transform 30 existing complaints from reactive burdens into opportunities for building customer trust. The findings of this report form the cornerstone of a data-driven customer experience strategy that moves the system from reactive response to proactive anticipation.</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Finding</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Description</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Importance Level</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1</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92.0% Inaccurate Classification</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46 out of 50 cases were originally classified incorrectly. This gap is the foundation of the operational challenges identified in this analysis.</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 Critical</w:t>
            </w:r>
          </w:p>
        </w:tc>
      </w:tr>
      <w:tr>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2</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Complaints Dominate at 60.0% of Workload</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30 out of 50 cases were complaints after reclassification. This concentration reflects the primary focus area for operational improvement.</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 Critical</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3</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Single Friction Point: Vehicle image in the fine notice shows a different vehicle or incorrect plate, or a fine registered against a customer who was not in Fujairah (11 cases, 22.0%)</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This point affects 11 cases (22.0% of the total). Root cause: technical platform malfunction.</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 Critical</w:t>
            </w:r>
          </w:p>
        </w:tc>
      </w:tr>
      <w:tr>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4</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3 Friction Points — Absence of Proactive Notification (11 cases)</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Three friction points share a common root cause: non-receipt of vehicle ownership document or driving licence after payment with no tracking or delivery notification; lack of clarity on the status of a previously submitted licence renewal or vehicle registration request with no update notification; weapon permit requests remaining pending for months with no status notification or update to the customer. Total affected cases: 11. Improving this group will contribute significantly to reducing friction.</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 High</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5</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98.0% On-Time Closure</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49 out of 50 cases were closed on time (98.0% rate). This demonstrates operational capability, but does not address structural gaps in accuracy and comprehension.</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 Positive</w:t>
            </w:r>
          </w:p>
        </w:tc>
      </w:tr>
    </w:tbl>
    <w:p/>
    <w:p>
      <w:pPr>
        <w:pStyle w:val="Heading1"/>
        <w:jc w:val="left"/>
      </w:pPr>
      <w:r>
        <w:rPr>
          <w:rFonts w:ascii="Calibri" w:hAnsi="Calibri" w:eastAsia="Calibri" w:cs="Calibri"/>
          <w:b/>
          <w:color w:val="B68A35"/>
          <w:sz w:val="32"/>
          <w:szCs w:val="32"/>
        </w:rPr>
        <w:t>Second: Methodology and Nature of Sources</w:t>
      </w:r>
      <w:bookmarkStart w:id="4" w:name="_Toc000000004"/>
      <w:bookmarkEnd w:id="4"/>
    </w:p>
    <w:p>
      <w:pPr>
        <w:pStyle w:val="Heading2"/>
        <w:jc w:val="left"/>
      </w:pPr>
      <w:r>
        <w:rPr>
          <w:rFonts w:ascii="Calibri" w:hAnsi="Calibri" w:eastAsia="Calibri" w:cs="Calibri"/>
          <w:b/>
          <w:color w:val="B68A35"/>
          <w:sz w:val="26"/>
          <w:szCs w:val="26"/>
        </w:rPr>
        <w:t>2.1  Sources Analysed</w:t>
      </w:r>
      <w:bookmarkStart w:id="5" w:name="_Toc000000005"/>
      <w:bookmarkEnd w:id="5"/>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Source</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Nature</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Volume</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Period</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Inquiry Analysis</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CRM data — unstructured text (case details, resolutions, service names, case description)</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49 cases</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January - December 2025</w:t>
            </w:r>
          </w:p>
        </w:tc>
      </w:tr>
      <w:tr>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Customer Service Guide</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Covers traffic and licensing services, police services, correctional and rehabilitative institution services, operations management, proactive services, and 2 more, with FAQ verification and gap analysis</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160 pages, 8 verified questions</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2025</w:t>
            </w:r>
          </w:p>
        </w:tc>
      </w:tr>
    </w:tbl>
    <w:p/>
    <w:p>
      <w:pPr>
        <w:pStyle w:val="Heading2"/>
        <w:jc w:val="left"/>
      </w:pPr>
      <w:r>
        <w:rPr>
          <w:rFonts w:ascii="Calibri" w:hAnsi="Calibri" w:eastAsia="Calibri" w:cs="Calibri"/>
          <w:b/>
          <w:color w:val="B68A35"/>
          <w:sz w:val="26"/>
          <w:szCs w:val="26"/>
        </w:rPr>
        <w:t>2.2  Classification Methodology</w:t>
      </w:r>
      <w:bookmarkStart w:id="6" w:name="_Toc000000006"/>
      <w:bookmarkEnd w:id="6"/>
    </w:p>
    <w:p>
      <w:pPr>
        <w:spacing w:after="120"/>
        <w:jc w:val="both"/>
      </w:pPr>
      <w:r>
        <w:rPr>
          <w:rFonts w:ascii="Calibri" w:hAnsi="Calibri" w:eastAsia="Calibri" w:cs="Calibri"/>
          <w:b w:val="0"/>
          <w:i w:val="0"/>
          <w:color w:val="000000"/>
          <w:sz w:val="24"/>
          <w:szCs w:val="24"/>
          <w:u w:val="none"/>
        </w:rPr>
        <w:t>The analysis relies on a four-level decision tree, where the nature of what is required — not the wording — is the decisive criterion. Each case is subjected to two sequential tests:</w:t>
      </w:r>
    </w:p>
    <w:p>
      <w:pPr>
        <w:spacing w:after="120"/>
        <w:jc w:val="both"/>
      </w:pPr>
      <w:r>
        <w:rPr>
          <w:rFonts w:ascii="Calibri" w:hAnsi="Calibri" w:eastAsia="Calibri" w:cs="Calibri"/>
          <w:b w:val="0"/>
          <w:i w:val="0"/>
          <w:color w:val="000000"/>
          <w:sz w:val="24"/>
          <w:szCs w:val="24"/>
          <w:u w:val="none"/>
        </w:rPr>
        <w:t>(1) First Test: Does the text express dissatisfaction, report a failure, or express a desire to lodge a formal complaint or objection?</w:t>
      </w:r>
    </w:p>
    <w:p>
      <w:pPr>
        <w:spacing w:after="120"/>
        <w:jc w:val="both"/>
      </w:pPr>
      <w:r>
        <w:rPr>
          <w:rFonts w:ascii="Calibri" w:hAnsi="Calibri" w:eastAsia="Calibri" w:cs="Calibri"/>
          <w:b w:val="0"/>
          <w:i w:val="0"/>
          <w:color w:val="000000"/>
          <w:sz w:val="24"/>
          <w:szCs w:val="24"/>
          <w:u w:val="none"/>
        </w:rPr>
        <w:t>(2) Second Test: Does the text request the execution of a specific action such as service provision, request follow-up, or data amendment — rather than merely obtaining information?</w:t>
      </w:r>
    </w:p>
    <w:p>
      <w:pPr>
        <w:spacing w:after="120"/>
        <w:jc w:val="both"/>
      </w:pPr>
      <w:r>
        <w:rPr>
          <w:rFonts w:ascii="Calibri" w:hAnsi="Calibri" w:eastAsia="Calibri" w:cs="Calibri"/>
          <w:b w:val="0"/>
          <w:i w:val="0"/>
          <w:color w:val="000000"/>
          <w:sz w:val="24"/>
          <w:szCs w:val="24"/>
          <w:u w:val="none"/>
        </w:rPr>
        <w:t>Classification Rules:</w:t>
      </w:r>
    </w:p>
    <w:p>
      <w:pPr>
        <w:spacing w:after="120"/>
        <w:jc w:val="both"/>
      </w:pPr>
      <w:r>
        <w:rPr>
          <w:rFonts w:ascii="Calibri" w:hAnsi="Calibri" w:eastAsia="Calibri" w:cs="Calibri"/>
          <w:b w:val="0"/>
          <w:i w:val="0"/>
          <w:color w:val="000000"/>
          <w:sz w:val="24"/>
          <w:szCs w:val="24"/>
          <w:u w:val="none"/>
        </w:rPr>
        <w:t>→ If the answer to the first is yes: Complaint (even if the text also includes a request for action);</w:t>
      </w:r>
    </w:p>
    <w:p>
      <w:pPr>
        <w:spacing w:after="120"/>
        <w:jc w:val="both"/>
      </w:pPr>
      <w:r>
        <w:rPr>
          <w:rFonts w:ascii="Calibri" w:hAnsi="Calibri" w:eastAsia="Calibri" w:cs="Calibri"/>
          <w:b w:val="0"/>
          <w:i w:val="0"/>
          <w:color w:val="000000"/>
          <w:sz w:val="24"/>
          <w:szCs w:val="24"/>
          <w:u w:val="none"/>
        </w:rPr>
        <w:t>→ If the answer to the second only is yes: Request (without the purpose being to report a problem);</w:t>
      </w:r>
    </w:p>
    <w:p>
      <w:pPr>
        <w:spacing w:after="120"/>
        <w:jc w:val="both"/>
      </w:pPr>
      <w:r>
        <w:rPr>
          <w:rFonts w:ascii="Calibri" w:hAnsi="Calibri" w:eastAsia="Calibri" w:cs="Calibri"/>
          <w:b w:val="0"/>
          <w:i w:val="0"/>
          <w:color w:val="000000"/>
          <w:sz w:val="24"/>
          <w:szCs w:val="24"/>
          <w:u w:val="none"/>
        </w:rPr>
        <w:t>→ If the purpose is a question or inquiry about information: Inquiry;</w:t>
      </w:r>
    </w:p>
    <w:p>
      <w:pPr>
        <w:spacing w:after="120"/>
        <w:jc w:val="both"/>
      </w:pPr>
      <w:r>
        <w:rPr>
          <w:rFonts w:ascii="Calibri" w:hAnsi="Calibri" w:eastAsia="Calibri" w:cs="Calibri"/>
          <w:b w:val="0"/>
          <w:i w:val="0"/>
          <w:color w:val="000000"/>
          <w:sz w:val="24"/>
          <w:szCs w:val="24"/>
          <w:u w:val="none"/>
        </w:rPr>
        <w:t>→ If the expression conveys satisfaction and praise: Compliment.</w:t>
      </w:r>
    </w:p>
    <w:p>
      <w:pPr>
        <w:pStyle w:val="Heading2"/>
        <w:jc w:val="left"/>
      </w:pPr>
      <w:r>
        <w:rPr>
          <w:rFonts w:ascii="Calibri" w:hAnsi="Calibri" w:eastAsia="Calibri" w:cs="Calibri"/>
          <w:b/>
          <w:color w:val="B68A35"/>
          <w:sz w:val="26"/>
          <w:szCs w:val="26"/>
        </w:rPr>
        <w:t>2.3  Fields Analysed</w:t>
      </w:r>
      <w:bookmarkStart w:id="7" w:name="_Toc000000007"/>
      <w:bookmarkEnd w:id="7"/>
    </w:p>
    <w:p>
      <w:pPr>
        <w:spacing w:after="120"/>
        <w:jc w:val="both"/>
      </w:pPr>
      <w:r>
        <w:rPr>
          <w:rFonts w:ascii="Calibri" w:hAnsi="Calibri" w:eastAsia="Calibri" w:cs="Calibri"/>
          <w:b w:val="0"/>
          <w:i w:val="0"/>
          <w:color w:val="000000"/>
          <w:sz w:val="24"/>
          <w:szCs w:val="24"/>
          <w:u w:val="none"/>
        </w:rPr>
        <w:t>Structured fields used in the analysis: request number, main service, original call type, request status, communication channel, and responsible department. Unstructured fields — the focus of this analysis: request details and processing response. These two fields reveal the true nature of each case beyond its formal classification in the system.</w:t>
      </w:r>
    </w:p>
    <w:p>
      <w:pPr>
        <w:pStyle w:val="Heading1"/>
        <w:jc w:val="left"/>
      </w:pPr>
      <w:r>
        <w:rPr>
          <w:rFonts w:ascii="Calibri" w:hAnsi="Calibri" w:eastAsia="Calibri" w:cs="Calibri"/>
          <w:b/>
          <w:color w:val="B68A35"/>
          <w:sz w:val="32"/>
          <w:szCs w:val="32"/>
        </w:rPr>
        <w:t>Third: Analysis One — Contact Type Classification Map</w:t>
      </w:r>
      <w:bookmarkStart w:id="8" w:name="_Toc000000008"/>
      <w:bookmarkEnd w:id="8"/>
    </w:p>
    <w:p>
      <w:pPr>
        <w:pStyle w:val="Heading2"/>
        <w:jc w:val="left"/>
      </w:pPr>
      <w:r>
        <w:rPr>
          <w:rFonts w:ascii="Calibri" w:hAnsi="Calibri" w:eastAsia="Calibri" w:cs="Calibri"/>
          <w:b/>
          <w:color w:val="B68A35"/>
          <w:sz w:val="26"/>
          <w:szCs w:val="26"/>
        </w:rPr>
        <w:t>3.1  Actual Contact Type Distribution</w:t>
      </w:r>
      <w:bookmarkStart w:id="9" w:name="_Toc000000009"/>
      <w:bookmarkEnd w:id="9"/>
    </w:p>
    <w:p>
      <w:pPr>
        <w:spacing w:after="120"/>
        <w:jc w:val="both"/>
      </w:pPr>
      <w:r>
        <w:rPr>
          <w:rFonts w:ascii="Calibri" w:hAnsi="Calibri" w:eastAsia="Calibri" w:cs="Calibri"/>
          <w:b w:val="0"/>
          <w:i w:val="0"/>
          <w:color w:val="000000"/>
          <w:sz w:val="24"/>
          <w:szCs w:val="24"/>
          <w:u w:val="none"/>
        </w:rPr>
        <w:t>Analysis of 50 cases in January - December 2025 revealed that accurate classification of the actual content of each contact paints a picture entirely different from what the CRM system data reflects. The fundamental shift: whereas all fifty cases were originally recorded as 'inquiries' prior to correction, it emerges that 'complaint' is the true dominant category with 30 cases representing 60.0% of total contacts, thereby redefining the actual nature of the workload and processing requirements.</w:t>
      </w:r>
    </w:p>
    <w:tbl>
      <w:tblPr>
        <w:tblStyle w:val="TableGrid"/>
        <w:tblW w:type="auto" w:w="0"/>
        <w:tblLook w:firstColumn="1" w:firstRow="1" w:lastColumn="0" w:lastRow="0" w:noHBand="0" w:noVBand="1" w:val="04A0"/>
        <w:tblLayout w:type="fixed"/>
      </w:tblPr>
      <w:tblGrid>
        <w:gridCol w:w="1872"/>
        <w:gridCol w:w="1872"/>
        <w:gridCol w:w="1872"/>
        <w:gridCol w:w="1872"/>
        <w:gridCol w:w="1872"/>
      </w:tblGrid>
      <w:tr>
        <w:tc>
          <w:tcPr>
            <w:tcW w:type="dxa" w:w="1872"/>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Contact Type</w:t>
            </w:r>
          </w:p>
        </w:tc>
        <w:tc>
          <w:tcPr>
            <w:tcW w:type="dxa" w:w="1872"/>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Count</w:t>
            </w:r>
          </w:p>
        </w:tc>
        <w:tc>
          <w:tcPr>
            <w:tcW w:type="dxa" w:w="1872"/>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Percentage</w:t>
            </w:r>
          </w:p>
        </w:tc>
        <w:tc>
          <w:tcPr>
            <w:tcW w:type="dxa" w:w="1872"/>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Classification Change</w:t>
            </w:r>
          </w:p>
        </w:tc>
        <w:tc>
          <w:tcPr>
            <w:tcW w:type="dxa" w:w="1872"/>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Digital Deflection Potential</w:t>
            </w:r>
          </w:p>
        </w:tc>
      </w:tr>
      <w:tr>
        <w:tc>
          <w:tcPr>
            <w:tcW w:type="dxa" w:w="1872"/>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Complaint</w:t>
            </w:r>
          </w:p>
        </w:tc>
        <w:tc>
          <w:tcPr>
            <w:tcW w:type="dxa" w:w="1872"/>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30</w:t>
            </w:r>
          </w:p>
        </w:tc>
        <w:tc>
          <w:tcPr>
            <w:tcW w:type="dxa" w:w="1872"/>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60.0%</w:t>
            </w:r>
          </w:p>
        </w:tc>
        <w:tc>
          <w:tcPr>
            <w:tcW w:type="dxa" w:w="1872"/>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+30 (was zero in the original file)</w:t>
            </w:r>
          </w:p>
        </w:tc>
        <w:tc>
          <w:tcPr>
            <w:tcW w:type="dxa" w:w="1872"/>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Dedicated digital channel — complaints portal / report tracking in the app</w:t>
            </w:r>
          </w:p>
        </w:tc>
      </w:tr>
      <w:tr>
        <w:tc>
          <w:tcPr>
            <w:tcW w:type="dxa" w:w="1872"/>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Request</w:t>
            </w:r>
          </w:p>
        </w:tc>
        <w:tc>
          <w:tcPr>
            <w:tcW w:type="dxa" w:w="1872"/>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16</w:t>
            </w:r>
          </w:p>
        </w:tc>
        <w:tc>
          <w:tcPr>
            <w:tcW w:type="dxa" w:w="1872"/>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32.0%</w:t>
            </w:r>
          </w:p>
        </w:tc>
        <w:tc>
          <w:tcPr>
            <w:tcW w:type="dxa" w:w="1872"/>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+16 (was zero in the original file)</w:t>
            </w:r>
          </w:p>
        </w:tc>
        <w:tc>
          <w:tcPr>
            <w:tcW w:type="dxa" w:w="1872"/>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Requires a staff member with system access</w:t>
            </w:r>
          </w:p>
        </w:tc>
      </w:tr>
      <w:tr>
        <w:tc>
          <w:tcPr>
            <w:tcW w:type="dxa" w:w="1872"/>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Inquiry</w:t>
            </w:r>
          </w:p>
        </w:tc>
        <w:tc>
          <w:tcPr>
            <w:tcW w:type="dxa" w:w="1872"/>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4</w:t>
            </w:r>
          </w:p>
        </w:tc>
        <w:tc>
          <w:tcPr>
            <w:tcW w:type="dxa" w:w="1872"/>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8.0%</w:t>
            </w:r>
          </w:p>
        </w:tc>
        <w:tc>
          <w:tcPr>
            <w:tcW w:type="dxa" w:w="1872"/>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−46 from original</w:t>
            </w:r>
          </w:p>
        </w:tc>
        <w:tc>
          <w:tcPr>
            <w:tcW w:type="dxa" w:w="1872"/>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Full deflection — chatbot / FAQ / IVR / website</w:t>
            </w:r>
          </w:p>
        </w:tc>
      </w:tr>
      <w:tr>
        <w:tc>
          <w:tcPr>
            <w:tcW w:type="dxa" w:w="1872"/>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Compliment</w:t>
            </w:r>
          </w:p>
        </w:tc>
        <w:tc>
          <w:tcPr>
            <w:tcW w:type="dxa" w:w="1872"/>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0</w:t>
            </w:r>
          </w:p>
        </w:tc>
        <w:tc>
          <w:tcPr>
            <w:tcW w:type="dxa" w:w="1872"/>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0.0%</w:t>
            </w:r>
          </w:p>
        </w:tc>
        <w:tc>
          <w:tcPr>
            <w:tcW w:type="dxa" w:w="1872"/>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No change</w:t>
            </w:r>
          </w:p>
        </w:tc>
        <w:tc>
          <w:tcPr>
            <w:tcW w:type="dxa" w:w="1872"/>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Automated documentation — no action required</w:t>
            </w:r>
          </w:p>
        </w:tc>
      </w:tr>
    </w:tbl>
    <w:p/>
    <w:p>
      <w:pPr>
        <w:jc w:val="center"/>
      </w:pPr>
      <w:r>
        <w:drawing>
          <wp:inline distT="0" distB="0" distL="0" distR="0">
            <wp:extent cx="5040000" cy="3240000"/>
            <wp:effectExtent l="0" t="0" r="0" b="0"/>
            <wp:docPr id="102" name="Chart 1" descr="Chart 1"/>
            <wp:cNvGraphicFramePr>
              <a:graphicFrameLocks noChangeAspect="1"/>
            </wp:cNvGraphicFramePr>
            <a:graphic>
              <a:graphicData uri="http://schemas.openxmlformats.org/drawingml/2006/chart">
                <c:chart r:id="rId12"/>
              </a:graphicData>
            </a:graphic>
          </wp:inline>
        </w:drawing>
      </w:r>
    </w:p>
    <w:p/>
    <w:p>
      <w:pPr>
        <w:pStyle w:val="Heading2"/>
        <w:jc w:val="left"/>
      </w:pPr>
      <w:r>
        <w:rPr>
          <w:rFonts w:ascii="Calibri" w:hAnsi="Calibri" w:eastAsia="Calibri" w:cs="Calibri"/>
          <w:b/>
          <w:color w:val="B68A35"/>
          <w:sz w:val="26"/>
          <w:szCs w:val="26"/>
        </w:rPr>
        <w:t>3.2  Classification Accuracy — 92.0% of Cases Reclassified</w:t>
      </w:r>
      <w:bookmarkStart w:id="10" w:name="_Toc000000010"/>
      <w:bookmarkEnd w:id="10"/>
    </w:p>
    <w:p>
      <w:pPr>
        <w:spacing w:after="120"/>
        <w:jc w:val="both"/>
      </w:pPr>
      <w:r>
        <w:rPr>
          <w:rFonts w:ascii="Calibri" w:hAnsi="Calibri" w:eastAsia="Calibri" w:cs="Calibri"/>
          <w:b w:val="0"/>
          <w:i w:val="0"/>
          <w:color w:val="000000"/>
          <w:sz w:val="24"/>
          <w:szCs w:val="24"/>
          <w:u w:val="none"/>
        </w:rPr>
        <w:t>Critical Finding: All fifty cases (50 out of 50) were recorded in the CRM system under the classification 'inquiry' without any distinction for the actual nature of the content. Detailed analysis of contact texts resulted in the reclassification of 46 cases at a rate of 92.0%, which does not reflect human error but rather embodies the nature of the intake channel's entry mechanism that places all incoming contacts under a single uniform label. The complete list of 46 cases with evidence is available in the digital appendix (attached Excel file).</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Request Number</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Recorded As</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Correct Classification</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Evidence from Request Details</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2025287730</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Inquiry</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Complaint — Security or Traffic Report</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"Peace be upon you. A report was submitted on 23/10/2025 with report number 2228 regarding being assaulted at Al-Diyar School in Fujairah city centre, and to this day it has not been acted upon on the grounds that the school did not respond to them and the report has not been completed and transferred to the Public Prosecution to finalise the case."</w:t>
            </w:r>
          </w:p>
        </w:tc>
      </w:tr>
      <w:tr>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210724</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Inquiry</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Complaint — Non-Receipt of Service</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"I have not received the vehicle ownership document and the problem is that my personal phone number is updated yet they are not contacting my number and are instead contacting another number — my brother's number — and I have not received the vehicle ownership document."</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211093</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Inquiry</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Complaint — Non-Receipt of Service</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"I have not received the licence until now. I previously submitted a complaint and one of the officers from Fujairah spoke with me about how the transaction number I provided does not match the personal number, and when unable to reach you, Emirates Post returned the licence to the Traffic Department in Fujairah and the data was updated. One of the Emirates Post staff spoke with me and said it would arrive the next day, even though the last communication with the Emirates Post representative was more than 10 days ago. The call was transferred to customer service and a police officer spoke with me twice, but the problem has not been resolved to this day. Emirates Post was contacted and they told me they cannot search for a parcel specific to me and cannot search by this number and they send a shipping number with no shipment tracking."</w:t>
            </w:r>
          </w:p>
        </w:tc>
      </w:tr>
      <w:tr>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212803</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Inquiry</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Complaint — Disputed Fine</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"A speeding fine was issued in Fujairah city on 1/1/2025, even though I was not present in Fujairah on that day, and the fine image shows a plate number different from my vehicle's plate.</w:t>
              <w:br/>
              <w:t>Fine number: 6250003094</w:t>
              <w:br/>
              <w:t>My vehicle's plate number: 11/72739</w:t>
              <w:br/>
              <w:t>Radar image attached."</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213942</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Inquiry</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Request — Follow-up on Submitted Request</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"I renewed the licence through the MOI application and it has been almost 6 months and I still have not received it."</w:t>
            </w:r>
          </w:p>
        </w:tc>
      </w:tr>
    </w:tbl>
    <w:p/>
    <w:p>
      <w:pPr>
        <w:pStyle w:val="Heading2"/>
        <w:jc w:val="left"/>
      </w:pPr>
      <w:r>
        <w:rPr>
          <w:rFonts w:ascii="Calibri" w:hAnsi="Calibri" w:eastAsia="Calibri" w:cs="Calibri"/>
          <w:b/>
          <w:color w:val="B68A35"/>
          <w:sz w:val="26"/>
          <w:szCs w:val="26"/>
        </w:rPr>
        <w:t>3.3  Complaints Breakdown (30 cases — 60.0%)</w:t>
      </w:r>
      <w:bookmarkStart w:id="11" w:name="_Toc000000011"/>
      <w:bookmarkEnd w:id="11"/>
    </w:p>
    <w:p>
      <w:pPr>
        <w:spacing w:after="120"/>
        <w:jc w:val="both"/>
      </w:pPr>
      <w:r>
        <w:rPr>
          <w:rFonts w:ascii="Calibri" w:hAnsi="Calibri" w:eastAsia="Calibri" w:cs="Calibri"/>
          <w:b w:val="0"/>
          <w:i w:val="0"/>
          <w:color w:val="000000"/>
          <w:sz w:val="24"/>
          <w:szCs w:val="24"/>
          <w:u w:val="none"/>
        </w:rPr>
        <w:t>Reclassification revealed that complaints represent the hidden dominant category with 30 cases, concentrated notably within the traffic fines and licensing system in a manner that warrants organised institutional treatment:</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Sub-Category</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Count</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Percentage of Complaints</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Description</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Complaint Regarding a Disputed Fine</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11</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36.7%</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Customers for whom the system recorded a fine in their name or against their vehicle's plate at a time or location where they were not present, and who request a review of the radar image, proof of the error, and cancellation of the fine.</w:t>
            </w:r>
          </w:p>
        </w:tc>
      </w:tr>
      <w:tr>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Objection to a Traffic Fine</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6</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20.0%</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Customers formally contesting traffic fines recorded in their records which they believe were issued without justification or whose circumstances warrant reconsideration.</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Filing a Security or Traffic Report</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5</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16.7%</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Customers who were involved in security or traffic incidents and submitted formal reports, who are following up on their progress and complaining about proceedings being halted without notification of the outcome.</w:t>
            </w:r>
          </w:p>
        </w:tc>
      </w:tr>
      <w:tr>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Complaint Regarding Non-Receipt of Service</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4</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13.3%</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Customers who completed the procedures to obtain official documents such as licences and vehicle ownership documents and have not received them as of the date of their contact, despite weeks having passed since the completion of the transaction.</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Complaint Regarding a Technical or System Error</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2</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6.7%</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Customers who encountered errors in police system data or electronic platforms that resulted in their transactions not being processed or being halted due to conflicting registered information.</w:t>
            </w:r>
          </w:p>
        </w:tc>
      </w:tr>
      <w:tr>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Complaint Regarding Processing Delay</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1</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3.3%</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A customer who submitted a formal request or transaction and a lengthy period elapsed without a decision being made or communication being initiated to inform them of developments in their case.</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Complaint Regarding No Response</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1</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3.3%</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A customer who contacted the authority or one of its departments on multiple occasions and received no response or follow-up, compelling them to repeat contact through another channel.</w:t>
            </w:r>
          </w:p>
        </w:tc>
      </w:tr>
    </w:tbl>
    <w:p/>
    <w:p>
      <w:pPr>
        <w:pStyle w:val="Heading2"/>
        <w:jc w:val="left"/>
      </w:pPr>
      <w:r>
        <w:rPr>
          <w:rFonts w:ascii="Calibri" w:hAnsi="Calibri" w:eastAsia="Calibri" w:cs="Calibri"/>
          <w:b/>
          <w:color w:val="B68A35"/>
          <w:sz w:val="26"/>
          <w:szCs w:val="26"/>
        </w:rPr>
        <w:t>3.4  Service Requests and Inquiries Breakdown</w:t>
      </w:r>
      <w:bookmarkStart w:id="12" w:name="_Toc000000012"/>
      <w:bookmarkEnd w:id="12"/>
    </w:p>
    <w:p>
      <w:pPr>
        <w:spacing w:after="120"/>
        <w:jc w:val="both"/>
      </w:pPr>
      <w:r>
        <w:rPr>
          <w:rFonts w:ascii="Calibri" w:hAnsi="Calibri" w:eastAsia="Calibri" w:cs="Calibri"/>
          <w:b w:val="0"/>
          <w:i w:val="0"/>
          <w:color w:val="000000"/>
          <w:sz w:val="24"/>
          <w:szCs w:val="24"/>
          <w:u w:val="none"/>
        </w:rPr>
        <w:t>Most notable submitted requests (16 cases — 32.0%):</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Sub-Category</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Count</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Percentage</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Description</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Request to Amend or Update Data</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5</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31.2%</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Customers requesting correction of personal or contact information incorrectly recorded in the systems, such as phone number or correspondence address, which is impeding the completion of their transactions.</w:t>
            </w:r>
          </w:p>
        </w:tc>
      </w:tr>
      <w:tr>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Follow-up on a Submitted Request</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4</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25.0%</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Customers who previously submitted service requests via the application or electronic platform and have not received any confirmation or delivery to date, and are inquiring about the status of their requests.</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Weapon Permit or Licence Request</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3</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18.8%</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Customers applying for the issuance or renewal of weapon carrying permits or related licences, and requiring guidance regarding requirements and procedures.</w:t>
            </w:r>
          </w:p>
        </w:tc>
      </w:tr>
      <w:tr>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Licence or Ownership Renewal Request</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1</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6.2%</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A customer who completed the procedures to renew their driving licence or vehicle ownership electronically and is following up on receipt of the updated document which has not yet been received.</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General Service Request</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1</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6.2%</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A customer requesting a general administrative service within the police's jurisdiction that does not fall under a specific classification, and requires direction to the competent department to complete their procedures.</w:t>
            </w:r>
          </w:p>
        </w:tc>
      </w:tr>
      <w:tr>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Special Permit Request</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1</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6.2%</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A customer seeking to obtain a special permit for a specific purpose that requires police approval, and requesting guidance on application requirements and the process for obtaining it.</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Traffic Fine Payment Request</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1</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6.2%</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A customer wishing to pay a traffic fine registered in their name and encountering a technical or procedural obstacle preventing them from completing the payment through the available channels.</w:t>
            </w:r>
          </w:p>
        </w:tc>
      </w:tr>
    </w:tbl>
    <w:p/>
    <w:p>
      <w:pPr>
        <w:pStyle w:val="Heading2"/>
        <w:jc w:val="left"/>
      </w:pPr>
      <w:r>
        <w:rPr>
          <w:rFonts w:ascii="Calibri" w:hAnsi="Calibri" w:eastAsia="Calibri" w:cs="Calibri"/>
          <w:b/>
          <w:color w:val="B68A35"/>
          <w:sz w:val="26"/>
          <w:szCs w:val="26"/>
        </w:rPr>
        <w:t>3.5  Most Recurring Inquiries (4 cases — 8.0%) — the category with the highest potential for full digital self-service deflection</w:t>
      </w:r>
      <w:bookmarkStart w:id="13" w:name="_Toc000000013"/>
      <w:bookmarkEnd w:id="13"/>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Sub-Category</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Count</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Percentage</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Description</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Inquiry Regarding Licences and Vehicles</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2</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50.0%</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Customers inquiring about procedures or requirements related to driving licences or vehicle ownership documents, such as required documents, renewal dates, or service fees.</w:t>
            </w:r>
          </w:p>
        </w:tc>
      </w:tr>
      <w:tr>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General Inquiry</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2</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50.0%</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Customers inquiring about general information related to Fujairah Police services, communication channels, or working hours without reference to a specific issue.</w:t>
            </w:r>
          </w:p>
        </w:tc>
      </w:tr>
    </w:tbl>
    <w:p/>
    <w:p>
      <w:pPr>
        <w:pStyle w:val="Heading1"/>
        <w:jc w:val="left"/>
      </w:pPr>
      <w:r>
        <w:rPr>
          <w:rFonts w:ascii="Calibri" w:hAnsi="Calibri" w:eastAsia="Calibri" w:cs="Calibri"/>
          <w:b/>
          <w:color w:val="B68A35"/>
          <w:sz w:val="32"/>
          <w:szCs w:val="32"/>
        </w:rPr>
        <w:t>Fourth: Analysis Two — Customer Journey Challenges</w:t>
      </w:r>
      <w:bookmarkStart w:id="14" w:name="_Toc000000014"/>
      <w:bookmarkEnd w:id="14"/>
    </w:p>
    <w:p>
      <w:pPr>
        <w:spacing w:after="120"/>
        <w:jc w:val="both"/>
      </w:pPr>
      <w:r>
        <w:rPr>
          <w:rFonts w:ascii="Calibri" w:hAnsi="Calibri" w:eastAsia="Calibri" w:cs="Calibri"/>
          <w:b w:val="0"/>
          <w:i w:val="0"/>
          <w:color w:val="000000"/>
          <w:sz w:val="24"/>
          <w:szCs w:val="24"/>
          <w:u w:val="none"/>
        </w:rPr>
        <w:t>In-depth analysis of unstructured text data reveals 8 main friction points in the customer journey, each resulting from a specific root cause that is addressable: The most acute point is 'vehicle image in the fine notice shows a different vehicle or incorrect plate, or a fine registered against a customer who was not in Fujairah', which affects 11 cases (22.0% of the total). A quick win can be achieved by activating an immediate proactive notification via SMS or email when any traffic fine is detected, which will reduce the need for customers to contact support and affects 2.0% of total cases. Below is a detailed table of the identified friction points, their root causes, and the proposed improvement actions:</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Friction Point</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Cases</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Root Cause</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Improvement Action</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Vehicle image in the fine notice shows a different vehicle or incorrect plate, or a fine registered against a customer who was not in Fujairah</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11</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Technical platform malfunction</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Review and fix the radar plate-matching system, and establish a digital channel for submitting disputed fine complaints with clarification of the procedure for proving absence from Fujairah and the processing duration.</w:t>
            </w:r>
          </w:p>
        </w:tc>
      </w:tr>
      <w:tr>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The customer objects to the validity of the fine and there is no clear digital channel for submitting a formal objection</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6</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Information missing from the guide</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Launch a digital fine objection service via the application and website, with step-by-step publication of objection procedures and provision of objection status tracking within the application.</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The customer is unable to update their personal data (phone number, ID, photo) independently and is compelled to contact support</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5</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Information exists but is difficult to access</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Expand the self-update feature in the application to include phone number, ID photo, and personal photo, with publication of an illustrated step-by-step guide and provision of an alternative electronic form when needed.</w:t>
            </w:r>
          </w:p>
        </w:tc>
      </w:tr>
      <w:tr>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Non-receipt of vehicle ownership document or driving licence after payment with no tracking or delivery notification</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4</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Absence of proactive notification</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Activate automatic SMS notifications at each stage of document delivery, and add a 'Where is my document?' self-tracking tool within the application with clarification of the expected receipt duration.</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Lack of clarity on the status of a previously submitted licence renewal or vehicle registration request with no update notification</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4</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Absence of proactive notification</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Activate automatic notifications upon each update to the request status, and enable self-tracking of request status via the application to reduce the need to contact support.</w:t>
            </w:r>
          </w:p>
        </w:tc>
      </w:tr>
      <w:tr>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Weapon permit requests remaining pending for months with no status notification or any update to the customer</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3</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Absence of proactive notification</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Include weapon permit service in the guide with eligibility criteria, required documents, and processing duration, and activate automatic notifications at each review stage with provision of a direct escalation point.</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Fees deducted twice or vehicle registration blocked without clear reason due to a technical system malfunction</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2</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Technical platform malfunction</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Establish a digital channel for refund requests within the application, send an automatic SMS payment confirmation for each financial transaction, and provide a clear technical escalation path via chatbot.</w:t>
            </w:r>
          </w:p>
        </w:tc>
      </w:tr>
      <w:tr>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The customer made an error selecting the plate type or service during payment due to an unclear application interface</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2</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Information missing from the guide</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Add confirmation screens displaying a complete summary before completing payment, and publish visual step-by-step guides for common payment transactions with explanatory tooltips at decision points within the application.</w:t>
            </w:r>
          </w:p>
        </w:tc>
      </w:tr>
    </w:tbl>
    <w:p/>
    <w:p>
      <w:pPr>
        <w:pStyle w:val="Heading1"/>
        <w:jc w:val="left"/>
      </w:pPr>
      <w:r>
        <w:rPr>
          <w:rFonts w:ascii="Calibri" w:hAnsi="Calibri" w:eastAsia="Calibri" w:cs="Calibri"/>
          <w:b/>
          <w:color w:val="B68A35"/>
          <w:sz w:val="32"/>
          <w:szCs w:val="32"/>
        </w:rPr>
        <w:t>Fifth: Analysis Three — Digital Gaps Analysis</w:t>
      </w:r>
      <w:bookmarkStart w:id="15" w:name="_Toc000000015"/>
      <w:bookmarkEnd w:id="15"/>
    </w:p>
    <w:p>
      <w:pPr>
        <w:spacing w:after="120"/>
        <w:jc w:val="both"/>
      </w:pPr>
      <w:r>
        <w:rPr>
          <w:rFonts w:ascii="Calibri" w:hAnsi="Calibri" w:eastAsia="Calibri" w:cs="Calibri"/>
          <w:b w:val="0"/>
          <w:i w:val="0"/>
          <w:color w:val="000000"/>
          <w:sz w:val="24"/>
          <w:szCs w:val="24"/>
          <w:u w:val="none"/>
        </w:rPr>
        <w:t>Why do problems persist despite the availability of the application and website? Data from the period January to December 2025 reveals that 94.0% of cases were submitted via digital channels (application/website), while 86.5% of cases arose in a directly digital context, confirming that the problem is not the absence of digital channels but the absence of the correct functions within them. Six critical gaps and 2 high-severity gaps were identified, the most prominent being 'disputed traffic fines — different vehicle image or absence from Fujairah' with 11 cases, and 11 cases (22.0% of the total) can be deflected via a proactive SMS/email notification without any infrastructure change.</w:t>
      </w:r>
    </w:p>
    <w:p>
      <w:pPr>
        <w:pStyle w:val="Heading2"/>
        <w:jc w:val="left"/>
      </w:pPr>
      <w:r>
        <w:rPr>
          <w:rFonts w:ascii="Calibri" w:hAnsi="Calibri" w:eastAsia="Calibri" w:cs="Calibri"/>
          <w:b/>
          <w:color w:val="B68A35"/>
          <w:sz w:val="26"/>
          <w:szCs w:val="26"/>
        </w:rPr>
        <w:t>5.1  Consolidated Gaps Table</w:t>
      </w:r>
      <w:bookmarkStart w:id="16" w:name="_Toc000000016"/>
      <w:bookmarkEnd w:id="16"/>
    </w:p>
    <w:tbl>
      <w:tblPr>
        <w:tblStyle w:val="TableGrid"/>
        <w:tblW w:type="auto" w:w="0"/>
        <w:tblLook w:firstColumn="1" w:firstRow="1" w:lastColumn="0" w:lastRow="0" w:noHBand="0" w:noVBand="1" w:val="04A0"/>
        <w:tblLayout w:type="fixed"/>
      </w:tblPr>
      <w:tblGrid>
        <w:gridCol w:w="1560"/>
        <w:gridCol w:w="1560"/>
        <w:gridCol w:w="1560"/>
        <w:gridCol w:w="1560"/>
        <w:gridCol w:w="1560"/>
        <w:gridCol w:w="1560"/>
      </w:tblGrid>
      <w:tr>
        <w:tc>
          <w:tcPr>
            <w:tcW w:type="dxa" w:w="156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Topic</w:t>
            </w:r>
          </w:p>
        </w:tc>
        <w:tc>
          <w:tcPr>
            <w:tcW w:type="dxa" w:w="156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Cases</w:t>
            </w:r>
          </w:p>
        </w:tc>
        <w:tc>
          <w:tcPr>
            <w:tcW w:type="dxa" w:w="156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Severity</w:t>
            </w:r>
          </w:p>
        </w:tc>
        <w:tc>
          <w:tcPr>
            <w:tcW w:type="dxa" w:w="156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Current Application / Website Status</w:t>
            </w:r>
          </w:p>
        </w:tc>
        <w:tc>
          <w:tcPr>
            <w:tcW w:type="dxa" w:w="156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Gap Type</w:t>
            </w:r>
          </w:p>
        </w:tc>
        <w:tc>
          <w:tcPr>
            <w:tcW w:type="dxa" w:w="156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Recommendation</w:t>
            </w:r>
          </w:p>
        </w:tc>
      </w:tr>
      <w:tr>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Disputed Traffic Fines — Different Vehicle Image or Absence from Fujairah</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11</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 Critical</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Objection service is available via service centres only (07:30–15:30); there is no digital channel for submitting a disputed fine complaint or uploading evidentiary images, and no content explaining how to prove absence from Fujairah.</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Missing content + absence of digital channel</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Establish a digital channel for submitting disputed fine complaints with image upload, and add a FAQ explaining the procedures for proving absence and correcting radar data.</w:t>
            </w:r>
          </w:p>
        </w:tc>
      </w:tr>
      <w:tr>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Traffic Fine Objections — Absence of a Digital Channel for Submitting a Formal Objection</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6</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 Critical</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Formal objection is available via service centres only with paper forms; there is no digital pathway in the MOI application or Fujairah Police website for submitting an objection or tracking its status.</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Absence of digital channel + non-streamlined procedure</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Launch a digital objection service via the MOI application and Fujairah Police website, with objection status tracking and a FAQ clarifying required documents and timeline.</w:t>
            </w:r>
          </w:p>
        </w:tc>
      </w:tr>
      <w:tr>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Customer Data Update — Absence of Self-Service Option</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5</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 Critical</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Changing driving licence data is available via the MOI application and website (24/7), but updating phone number, personal photo, and ID photo is not available as a self-service and requires contacting support.</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Non-accessible information + absence of self-service</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Expand the self-data update feature to include phone number, personal photo, and ID photo, and publish an illustrated step-by-step guide within the application.</w:t>
            </w:r>
          </w:p>
        </w:tc>
      </w:tr>
      <w:tr>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Non-Receipt of Documents — Absence of Delivery Tracking and Notifications</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4</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 Critical</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There is no content in the guide or application clarifying document receipt duration, and no tracking feature or automatic notifications for printing, dispatch, and receipt stages.</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Absence of proactive notification + missing content</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Activate automatic SMS/email notifications at each stage (payment confirmation, printing, dispatch, receipt), and add a 'Where is my document?' self-tracking tool in the application.</w:t>
            </w:r>
          </w:p>
        </w:tc>
      </w:tr>
      <w:tr>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Pending Request Follow-up — Absence of Visibility on Request Status</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4</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 Critical</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There is no 'My Requests' dashboard in the MOI application displaying real-time status of licence renewal or vehicle registration requests, and no automatic notifications are sent when request status changes.</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Absence of proactive notification + missing content</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Activate automatic SMS/email notifications at each stage (submitted, under review, approved, ready for collection), and add a 'My Requests' dashboard with real-time status in the application.</w:t>
            </w:r>
          </w:p>
        </w:tc>
      </w:tr>
      <w:tr>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Weapon Permit Requests — Absence of Status Updates and Communication</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3</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 Critical</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The weapon permit service is entirely absent from the guide and application, with no eligibility criteria, required documents, review stage notifications, or escalation contact point.</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Missing content + absence of proactive notification</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Activate automatic SMS/email notifications at each review stage, and add the weapon permit service to the guide with eligibility criteria, required documents, processing duration, and a direct contact point.</w:t>
            </w:r>
          </w:p>
        </w:tc>
      </w:tr>
      <w:tr>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Technical System Errors — Double Deduction and Unjustified Registration Block</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2</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 High</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The paid fines refund service is available via service centres only (07:30–15:30); there is no digital channel within the application for submitting a double-deduction dispute or a refund request.</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Platform malfunction + absence of digital refund channel</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Establish a digital channel for refund and dispute requests in the MOI application, send an automatic SMS confirmation for every payment transaction, and add a FAQ for double deductions.</w:t>
            </w:r>
          </w:p>
        </w:tc>
      </w:tr>
      <w:tr>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Payment Procedure Errors — Unclear Application Interface Leading to Incorrect Selections</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2</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 High</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There are no visual guides or clear confirmation screens in the payment flow, resulting in the selection of incorrect plate types or services with no immediate correction option.</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Missing information + absence of user interface guidance</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Add visual guides with screenshots for common payment transactions, confirmation screens with a complete summary before submission, and a FAQ for correcting an incorrect selection.</w:t>
            </w:r>
          </w:p>
        </w:tc>
      </w:tr>
    </w:tbl>
    <w:p/>
    <w:p>
      <w:pPr>
        <w:pStyle w:val="Heading2"/>
        <w:jc w:val="left"/>
      </w:pPr>
      <w:r>
        <w:rPr>
          <w:rFonts w:ascii="Calibri" w:hAnsi="Calibri" w:eastAsia="Calibri" w:cs="Calibri"/>
          <w:b/>
          <w:color w:val="B68A35"/>
          <w:sz w:val="26"/>
          <w:szCs w:val="26"/>
        </w:rPr>
        <w:t>5.2  Root Causes of Continued Issues</w:t>
      </w:r>
      <w:bookmarkStart w:id="17" w:name="_Toc000000017"/>
      <w:bookmarkEnd w:id="17"/>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Root Cause</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Example of the Challenge</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Solution</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1</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Absence of an organised technical reporting mechanism</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13 cases — vehicle image in the fine notice shows a different vehicle or incorrect plate, or a fine registered against a customer who was not in Fujairah</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Establish a digital reporting form within the application for submitting disputed fine complaints with supporting document upload and a defined processing duration.</w:t>
            </w:r>
          </w:p>
        </w:tc>
      </w:tr>
      <w:tr>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2</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Weak proactive notification</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11 cases — lack of clarity on the status of a previously submitted licence renewal or vehicle registration request with no update notification</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Activate automatic SMS/email notifications upon every change in request status from submission through to final receipt.</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3</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Absence of a dedicated digital pathway</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8 cases — the customer objects to the validity of the fine and there is no clear digital channel for submitting a formal objection</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Launch a comprehensive digital pathway for traffic fine objections via the MOI application, with status tracking and a list of required documents.</w:t>
            </w:r>
          </w:p>
        </w:tc>
      </w:tr>
      <w:tr>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4</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Low awareness of available digital channels</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5 cases — the customer is unable to update their personal data (phone number, ID, photo) independently and is compelled to contact support</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Publish an illustrated step-by-step guide for self-data updates within the application, and add targeted FAQs at the main entry points.</w:t>
            </w:r>
          </w:p>
        </w:tc>
      </w:tr>
    </w:tbl>
    <w:p/>
    <w:p>
      <w:pPr>
        <w:pStyle w:val="Heading1"/>
        <w:jc w:val="left"/>
      </w:pPr>
      <w:r>
        <w:rPr>
          <w:rFonts w:ascii="Calibri" w:hAnsi="Calibri" w:eastAsia="Calibri" w:cs="Calibri"/>
          <w:b/>
          <w:color w:val="B68A35"/>
          <w:sz w:val="32"/>
          <w:szCs w:val="32"/>
        </w:rPr>
        <w:t>Sixth: Analysis Four — Digital Transformation Plan</w:t>
      </w:r>
      <w:bookmarkStart w:id="18" w:name="_Toc000000018"/>
      <w:bookmarkEnd w:id="18"/>
    </w:p>
    <w:p>
      <w:pPr>
        <w:spacing w:after="120"/>
        <w:jc w:val="both"/>
      </w:pPr>
      <w:r>
        <w:rPr>
          <w:rFonts w:ascii="Calibri" w:hAnsi="Calibri" w:eastAsia="Calibri" w:cs="Calibri"/>
          <w:b w:val="0"/>
          <w:i w:val="0"/>
          <w:color w:val="000000"/>
          <w:sz w:val="24"/>
          <w:szCs w:val="24"/>
          <w:u w:val="none"/>
        </w:rPr>
        <w:t>This section presents seven priority FAQs extracted from the most recurring patterns in the text data for the period January to December 2025, alongside a proposed proactive notification pathway to improve customer experience. The data indicates that at least 4 cases representing 8.0% of total cases can be entirely avoided through the activation of a simple automatic notification system without the need for any structural change.</w:t>
      </w:r>
    </w:p>
    <w:p>
      <w:pPr>
        <w:pStyle w:val="Heading2"/>
        <w:jc w:val="left"/>
      </w:pPr>
      <w:r>
        <w:rPr>
          <w:rFonts w:ascii="Calibri" w:hAnsi="Calibri" w:eastAsia="Calibri" w:cs="Calibri"/>
          <w:b/>
          <w:color w:val="B68A35"/>
          <w:sz w:val="26"/>
          <w:szCs w:val="26"/>
        </w:rPr>
        <w:t>6.1  Priority Frequently Asked Questions</w:t>
      </w:r>
      <w:bookmarkStart w:id="19" w:name="_Toc000000019"/>
      <w:bookmarkEnd w:id="19"/>
    </w:p>
    <w:p>
      <w:pPr>
        <w:spacing w:after="120"/>
        <w:jc w:val="both"/>
      </w:pPr>
      <w:r>
        <w:rPr>
          <w:rFonts w:ascii="Calibri" w:hAnsi="Calibri" w:eastAsia="Calibri" w:cs="Calibri"/>
          <w:b w:val="0"/>
          <w:i w:val="0"/>
          <w:color w:val="000000"/>
          <w:sz w:val="24"/>
          <w:szCs w:val="24"/>
          <w:u w:val="none"/>
        </w:rPr>
        <w:t>These questions are extracted from the most recurring patterns in the text data.</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Question</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Proposed Answer</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Frequency</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1</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How do I verify that the traffic fine recorded in my name actually belongs to my vehicle and not another?</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Open the MOI application and review the vehicle image attached to the fine. If the image shows a vehicle different from yours, submit a formal complaint via the application or website attaching an image of your vehicle and plate details. The relevant specialists will verify the matter and correct it.</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11</w:t>
            </w:r>
          </w:p>
        </w:tc>
      </w:tr>
      <w:tr>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2</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Am I entitled to object to a traffic fine that I believe was issued against me in error?</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Yes, you are entitled to submit a formal objection directly via the MOI application, or by visiting the Fujairah Traffic Department or the Masafi Comprehensive Centre. If the objection is rejected and you wish to benefit from the available discount, contact the competent department and submit a formal request.</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6</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3</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How do I update my phone number or personal data in the traffic system records?</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Contact Fujairah Police or visit the service centre directly to update your phone number and data. As for identity-linked data such as name, this requires visiting the General Directorate of Residency and Foreigners Affairs, as it is linked to the UAE PASS digital identity system.</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5</w:t>
            </w:r>
          </w:p>
        </w:tc>
      </w:tr>
      <w:tr>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4</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I paid the required fees but have not yet received my vehicle ownership document or driving licence — what should I do?</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Documents are sent via Emirates Post to the address registered in your request. First, verify the accuracy of the delivery address and your phone number in the system. If sufficient time has passed without receipt, contact Fujairah Police requesting reprinting and redelivery, attaching proof of payment.</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4</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5</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What is the status of the weapon permit request I submitted, and how long does it typically take to be decided upon?</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Weapon permit requests are processed by the competent committee in the Weapons and Explosives Directorate. To inquire about the status of your request or in the event of a delay, contact Fujairah Police to follow up coordination with the relevant authority and obtain an update regarding when the request will be decided upon.</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3</w:t>
            </w:r>
          </w:p>
        </w:tc>
      </w:tr>
      <w:tr>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6</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Fees were deducted from me twice due to a technical error and the service or certificate was not issued — how do I obtain a refund?</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Contact Fujairah Police immediately, attaching the payment details and proof of both financial transactions (account statement or screenshot). The specialists will verify the technical error and return the excess deducted amount to your account.</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2</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7</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I selected the wrong plate type in the application and paid the fees — can I obtain a refund?</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Visit the competent authority at Fujairah Police attaching proof of payment to assess the possibility of a refund. The MOI application explains plate types and selection steps in detail, so it is advised to review the instructions before completing payment to avoid this type of error.</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2</w:t>
            </w:r>
          </w:p>
        </w:tc>
      </w:tr>
    </w:tbl>
    <w:p/>
    <w:p>
      <w:pPr>
        <w:jc w:val="center"/>
      </w:pPr>
      <w:r>
        <w:rPr>
          <w:rFonts w:ascii="Calibri" w:hAnsi="Calibri" w:eastAsia="Calibri" w:cs="Calibri"/>
          <w:i/>
          <w:color w:val="000000"/>
          <w:sz w:val="22"/>
          <w:szCs w:val="22"/>
        </w:rPr>
        <w:t>These questions are extracted from the most recurring patterns in the text data.</w:t>
      </w:r>
    </w:p>
    <w:p>
      <w:pPr>
        <w:pStyle w:val="Heading2"/>
        <w:jc w:val="left"/>
      </w:pPr>
      <w:r>
        <w:rPr>
          <w:rFonts w:ascii="Calibri" w:hAnsi="Calibri" w:eastAsia="Calibri" w:cs="Calibri"/>
          <w:b/>
          <w:color w:val="B68A35"/>
          <w:sz w:val="26"/>
          <w:szCs w:val="26"/>
        </w:rPr>
        <w:t>6.2  Pathway to Eliminate 4+ Contact Cases through Proactive Notification</w:t>
      </w:r>
      <w:bookmarkStart w:id="20" w:name="_Toc000000020"/>
      <w:bookmarkEnd w:id="20"/>
    </w:p>
    <w:p>
      <w:pPr>
        <w:spacing w:after="120"/>
        <w:jc w:val="both"/>
      </w:pPr>
      <w:r>
        <w:rPr>
          <w:rFonts w:ascii="Calibri" w:hAnsi="Calibri" w:eastAsia="Calibri" w:cs="Calibri"/>
          <w:b w:val="0"/>
          <w:i w:val="0"/>
          <w:color w:val="000000"/>
          <w:sz w:val="24"/>
          <w:szCs w:val="24"/>
          <w:u w:val="none"/>
        </w:rPr>
        <w:t>Data analysis reveals that 4+ contact cases (8% of the total) could have been entirely eliminated with a simple notification system — without any structural change to systems or procedures:</w:t>
      </w:r>
    </w:p>
    <w:tbl>
      <w:tblPr>
        <w:tblStyle w:val="TableGrid"/>
        <w:tblW w:type="auto" w:w="0"/>
        <w:tblLook w:firstColumn="1" w:firstRow="1" w:lastColumn="0" w:lastRow="0" w:noHBand="0" w:noVBand="1" w:val="04A0"/>
        <w:tblLayout w:type="fixed"/>
      </w:tblPr>
      <w:tblGrid>
        <w:gridCol w:w="1872"/>
        <w:gridCol w:w="1872"/>
        <w:gridCol w:w="1872"/>
        <w:gridCol w:w="1872"/>
        <w:gridCol w:w="1872"/>
      </w:tblGrid>
      <w:tr>
        <w:tc>
          <w:tcPr>
            <w:tcW w:type="dxa" w:w="1872"/>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Notification Type</w:t>
            </w:r>
          </w:p>
        </w:tc>
        <w:tc>
          <w:tcPr>
            <w:tcW w:type="dxa" w:w="1872"/>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Cases Eliminated</w:t>
            </w:r>
          </w:p>
        </w:tc>
        <w:tc>
          <w:tcPr>
            <w:tcW w:type="dxa" w:w="1872"/>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Notification Content (Example)</w:t>
            </w:r>
          </w:p>
        </w:tc>
        <w:tc>
          <w:tcPr>
            <w:tcW w:type="dxa" w:w="1872"/>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Channel</w:t>
            </w:r>
          </w:p>
        </w:tc>
        <w:tc>
          <w:tcPr>
            <w:tcW w:type="dxa" w:w="1872"/>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Expected Impact</w:t>
            </w:r>
          </w:p>
        </w:tc>
      </w:tr>
      <w:tr>
        <w:tc>
          <w:tcPr>
            <w:tcW w:type="dxa" w:w="1872"/>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Immediate notification upon detection of a traffic fine with attachment of the offending vehicle's image</w:t>
            </w:r>
          </w:p>
        </w:tc>
        <w:tc>
          <w:tcPr>
            <w:tcW w:type="dxa" w:w="1872"/>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1 case</w:t>
            </w:r>
          </w:p>
        </w:tc>
        <w:tc>
          <w:tcPr>
            <w:tcW w:type="dxa" w:w="1872"/>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'Fujairah Police: A traffic fine number [X] has been recorded on [X] date against your vehicle. You can view the fine image via the MOI application.'</w:t>
            </w:r>
          </w:p>
        </w:tc>
        <w:tc>
          <w:tcPr>
            <w:tcW w:type="dxa" w:w="1872"/>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SMS / Email</w:t>
            </w:r>
          </w:p>
        </w:tc>
        <w:tc>
          <w:tcPr>
            <w:tcW w:type="dxa" w:w="1872"/>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Avoiding one inquiry case related to fine ownership verification and reducing verification reviews.</w:t>
            </w:r>
          </w:p>
        </w:tc>
      </w:tr>
      <w:tr>
        <w:tc>
          <w:tcPr>
            <w:tcW w:type="dxa" w:w="1872"/>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Document delivery tracking notification (vehicle ownership document or driving licence)</w:t>
            </w:r>
          </w:p>
        </w:tc>
        <w:tc>
          <w:tcPr>
            <w:tcW w:type="dxa" w:w="1872"/>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1 case</w:t>
            </w:r>
          </w:p>
        </w:tc>
        <w:tc>
          <w:tcPr>
            <w:tcW w:type="dxa" w:w="1872"/>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'Fujairah Police: Your document [X] is being delivered via Emirates Post. Tracking number: [X]. Expected receipt duration: [X] business days.'</w:t>
            </w:r>
          </w:p>
        </w:tc>
        <w:tc>
          <w:tcPr>
            <w:tcW w:type="dxa" w:w="1872"/>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SMS / Email</w:t>
            </w:r>
          </w:p>
        </w:tc>
        <w:tc>
          <w:tcPr>
            <w:tcW w:type="dxa" w:w="1872"/>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Eliminating one inquiry case regarding document status and reducing reviews resulting from delayed receipt.</w:t>
            </w:r>
          </w:p>
        </w:tc>
      </w:tr>
      <w:tr>
        <w:tc>
          <w:tcPr>
            <w:tcW w:type="dxa" w:w="1872"/>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Weapon permit request status notification</w:t>
            </w:r>
          </w:p>
        </w:tc>
        <w:tc>
          <w:tcPr>
            <w:tcW w:type="dxa" w:w="1872"/>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1 case</w:t>
            </w:r>
          </w:p>
        </w:tc>
        <w:tc>
          <w:tcPr>
            <w:tcW w:type="dxa" w:w="1872"/>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'Fujairah Police: Weapon permit request number [X] is under review by the competent committee. You will be notified as soon as a decision is issued.'</w:t>
            </w:r>
          </w:p>
        </w:tc>
        <w:tc>
          <w:tcPr>
            <w:tcW w:type="dxa" w:w="1872"/>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SMS / Email</w:t>
            </w:r>
          </w:p>
        </w:tc>
        <w:tc>
          <w:tcPr>
            <w:tcW w:type="dxa" w:w="1872"/>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Avoiding one inquiry case regarding the progress of permit requests and reducing follow-up calls.</w:t>
            </w:r>
          </w:p>
        </w:tc>
      </w:tr>
      <w:tr>
        <w:tc>
          <w:tcPr>
            <w:tcW w:type="dxa" w:w="1872"/>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Notification of requirements for completing a licence renewal or vehicle registration request</w:t>
            </w:r>
          </w:p>
        </w:tc>
        <w:tc>
          <w:tcPr>
            <w:tcW w:type="dxa" w:w="1872"/>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1 case</w:t>
            </w:r>
          </w:p>
        </w:tc>
        <w:tc>
          <w:tcPr>
            <w:tcW w:type="dxa" w:w="1872"/>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'Fujairah Police: Your request number [X] requires completion of the following documents: [X]. Please attend before [X] date to complete the transaction.'</w:t>
            </w:r>
          </w:p>
        </w:tc>
        <w:tc>
          <w:tcPr>
            <w:tcW w:type="dxa" w:w="1872"/>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SMS</w:t>
            </w:r>
          </w:p>
        </w:tc>
        <w:tc>
          <w:tcPr>
            <w:tcW w:type="dxa" w:w="1872"/>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Eliminating one inquiry case regarding request requirements and reducing reviews resulting from incomplete documents.</w:t>
            </w:r>
          </w:p>
        </w:tc>
      </w:tr>
    </w:tbl>
    <w:p/>
    <w:p>
      <w:pPr>
        <w:jc w:val="center"/>
      </w:pPr>
      <w:r>
        <w:rPr>
          <w:rFonts w:ascii="Calibri" w:hAnsi="Calibri" w:eastAsia="Calibri" w:cs="Calibri"/>
          <w:i/>
          <w:color w:val="000000"/>
          <w:sz w:val="22"/>
          <w:szCs w:val="22"/>
        </w:rPr>
        <w:t>Data analysis reveals that 4+ contact cases (8% of the total) could have been entirely eliminated with a simple notification system — without any structural change to systems or procedures:</w:t>
      </w:r>
    </w:p>
    <w:p>
      <w:pPr>
        <w:pStyle w:val="Heading1"/>
        <w:jc w:val="left"/>
      </w:pPr>
      <w:r>
        <w:rPr>
          <w:rFonts w:ascii="Calibri" w:hAnsi="Calibri" w:eastAsia="Calibri" w:cs="Calibri"/>
          <w:b/>
          <w:color w:val="B68A35"/>
          <w:sz w:val="32"/>
          <w:szCs w:val="32"/>
        </w:rPr>
        <w:t>Seventh: AI-Powered Use Cases</w:t>
      </w:r>
      <w:bookmarkStart w:id="21" w:name="_Toc000000021"/>
      <w:bookmarkEnd w:id="21"/>
    </w:p>
    <w:p>
      <w:pPr>
        <w:spacing w:after="120"/>
        <w:jc w:val="both"/>
      </w:pPr>
      <w:r>
        <w:rPr>
          <w:rFonts w:ascii="Calibri" w:hAnsi="Calibri" w:eastAsia="Calibri" w:cs="Calibri"/>
          <w:b w:val="0"/>
          <w:i w:val="0"/>
          <w:color w:val="000000"/>
          <w:sz w:val="24"/>
          <w:szCs w:val="24"/>
          <w:u w:val="none"/>
        </w:rPr>
        <w:t>The opportunities identified in January - December 2025 integrate with artificial intelligence capabilities to build an intelligent self-service system covering no less than 92.0% of total incoming cases without human intervention at the classification stage. Based on the analysis of 50 documented cases during the aforementioned period, this document presents four integrated AI tools that address the most prominent sources of friction in the customer journey at the point of origin.</w:t>
      </w:r>
    </w:p>
    <w:p>
      <w:pPr>
        <w:spacing w:after="120"/>
        <w:jc w:val="both"/>
      </w:pPr>
      <w:r>
        <w:rPr>
          <w:rFonts w:ascii="Calibri" w:hAnsi="Calibri" w:eastAsia="Calibri" w:cs="Calibri"/>
          <w:b w:val="0"/>
          <w:i w:val="0"/>
          <w:color w:val="000000"/>
          <w:sz w:val="24"/>
          <w:szCs w:val="24"/>
          <w:u w:val="none"/>
        </w:rPr>
        <w:t>Key Note: Training data is now ready — 50 classified and labelled cases from the January - December 2025 period are available, forming a training dataset ready for immediate use. This labelled set enables commencement of AI classification model training without any delay in the data collection or preparation phase.</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Tool</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Function</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Expected Impact on January - December 2025 Data</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Implementation Assessment</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Visual Fine Validity Verification System</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The system is automatically activated at the moment the traffic fine image is captured, using a Computer Vision model to match the vehicle's colour and model in the image against the vehicle's registered data in the vehicle database. Upon detecting any discrepancy between the photographed plate and the ownership record, the system immediately issues an alert to the specialist before the fine is finalised and sent to the customer.</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High — 9+ months (requires access to a real-time feed from fine cameras)</w:t>
            </w:r>
          </w:p>
        </w:tc>
      </w:tr>
      <w:tr>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Intelligent Case Router Between Government Entities</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Upon the receipt of any new case in the CRM, the model analyses the request text using AI-powered text classification, then compares it against a database of entity jurisdictions to automatically determine the competent authority — whether Fujairah Police, RTA, or another government entity. The system produces an immediate routing message sent to the customer via the appropriate digital channel without the need for manual review.</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Medium — 3-4 months (requires a documented jurisdiction map for all entities)</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Automated Document Quality and Completeness Checker</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The system intercepts every document uploaded by the customer before the request submission is finalised, and conducts a series of automated checks using OCR and image quality requirements: it verifies the resolution of the personal photo, the validity of the technical inspection certificate, the completeness of mandatory fields, and the matching of the ID number against the entered data. Upon detecting any deficiency, the system immediately directs the customer with specific correction instructions before the request is registered in the CRM.</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Medium — 3-4 months (OCR model and document verification standards are commercially available)</w:t>
            </w:r>
          </w:p>
        </w:tc>
      </w:tr>
      <w:tr>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Geographical Friction Radar with Heat Map</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The system operates on complaint and suggestion texts stored in the CRM, extracting locations and geographical areas mentioned therein using Named Entity Recognition (NER) technology, then automatically plots this data on a heat map showing reporting density for each area. The system produces a periodic report classifying intersections and areas with disproportionate concentration to support resource allocation decisions and infrastructure priorities.</w:t>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r>
          </w:p>
        </w:tc>
        <w:tc>
          <w:tcPr>
            <w:tcW w:type="dxa" w:w="234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Low–Medium — 2-3 months (location data extracted from existing CRM texts)</w:t>
            </w:r>
          </w:p>
        </w:tc>
      </w:tr>
    </w:tbl>
    <w:p/>
    <w:p>
      <w:pPr>
        <w:jc w:val="center"/>
      </w:pPr>
      <w:r>
        <w:rPr>
          <w:rFonts w:ascii="Calibri" w:hAnsi="Calibri" w:eastAsia="Calibri" w:cs="Calibri"/>
          <w:i/>
          <w:color w:val="000000"/>
          <w:sz w:val="22"/>
          <w:szCs w:val="22"/>
        </w:rPr>
        <w:t>The opportunities identified in January - December 2025 integrate with artificial intelligence capabilities to build an intelligent self-service system covering no less than 92.0% of total incoming cases without human intervention at the classification stage. Based on the analysis of 50 documented cases during the aforementioned period, this document presents four integrated AI tools that address the most prominent sources of friction in the customer journey at the point of origin.</w:t>
      </w:r>
    </w:p>
    <w:p>
      <w:pPr>
        <w:pStyle w:val="Heading1"/>
        <w:jc w:val="left"/>
      </w:pPr>
      <w:r>
        <w:rPr>
          <w:rFonts w:ascii="Calibri" w:hAnsi="Calibri" w:eastAsia="Calibri" w:cs="Calibri"/>
          <w:b/>
          <w:color w:val="B68A35"/>
          <w:sz w:val="32"/>
          <w:szCs w:val="32"/>
        </w:rPr>
        <w:t>Eighth: Proposed Improvement Roadmap</w:t>
      </w:r>
      <w:bookmarkStart w:id="22" w:name="_Toc000000022"/>
      <w:bookmarkEnd w:id="22"/>
    </w:p>
    <w:p>
      <w:pPr>
        <w:spacing w:after="120"/>
        <w:jc w:val="both"/>
      </w:pPr>
      <w:r>
        <w:rPr>
          <w:rFonts w:ascii="Calibri" w:hAnsi="Calibri" w:eastAsia="Calibri" w:cs="Calibri"/>
          <w:b w:val="0"/>
          <w:i w:val="0"/>
          <w:color w:val="000000"/>
          <w:sz w:val="24"/>
          <w:szCs w:val="24"/>
          <w:u w:val="none"/>
        </w:rPr>
        <w:t>This roadmap consolidates the recommendations of the four analyses into a tiered priority system based on the January - December 2025 data of 50 cases, with the aim of converting identified gaps into measurable improvement actions. All eight items are drawn directly from the analysis without generic recommendations, and are ranked in descending order according to the dual criteria of impact and ease of implementation.</w:t>
      </w:r>
    </w:p>
    <w:tbl>
      <w:tblPr>
        <w:tblStyle w:val="TableGrid"/>
        <w:tblW w:type="auto" w:w="0"/>
        <w:tblLook w:firstColumn="1" w:firstRow="1" w:lastColumn="0" w:lastRow="0" w:noHBand="0" w:noVBand="1" w:val="04A0"/>
        <w:tblLayout w:type="fixed"/>
      </w:tblPr>
      <w:tblGrid>
        <w:gridCol w:w="1560"/>
        <w:gridCol w:w="1560"/>
        <w:gridCol w:w="1560"/>
        <w:gridCol w:w="1560"/>
        <w:gridCol w:w="1560"/>
        <w:gridCol w:w="1560"/>
      </w:tblGrid>
      <w:tr>
        <w:tc>
          <w:tcPr>
            <w:tcW w:type="dxa" w:w="156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Time Horizon</w:t>
            </w:r>
          </w:p>
        </w:tc>
        <w:tc>
          <w:tcPr>
            <w:tcW w:type="dxa" w:w="156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w:t>
            </w:r>
          </w:p>
        </w:tc>
        <w:tc>
          <w:tcPr>
            <w:tcW w:type="dxa" w:w="156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Recommendation</w:t>
            </w:r>
          </w:p>
        </w:tc>
        <w:tc>
          <w:tcPr>
            <w:tcW w:type="dxa" w:w="156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Source</w:t>
            </w:r>
          </w:p>
        </w:tc>
        <w:tc>
          <w:tcPr>
            <w:tcW w:type="dxa" w:w="156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Expected Impact</w:t>
            </w:r>
          </w:p>
        </w:tc>
        <w:tc>
          <w:tcPr>
            <w:tcW w:type="dxa" w:w="156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Effort</w:t>
            </w:r>
          </w:p>
        </w:tc>
      </w:tr>
      <w:tr>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 Immediate</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1</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Establish a formal digital fine objection channel within the MOI application, enabling customers to submit their objection with supporting documents attached and receive an immediate reference number via SMS.</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Analysis</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Reducing 6+ fine objection cases and decreasing repeat contacts by providing a clear formal pathway.</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Low</w:t>
            </w:r>
          </w:p>
        </w:tc>
      </w:tr>
      <w:tr>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 Immediate</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2</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Activate automatic SMS and email notifications at each document delivery stage (payment confirmation, printing, dispatch, receipt), with the addition of a 'Where is my document?' tool in the MOI application for self-tracking.</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Analysis</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Addressing 4+ cases arising from the absence of delivery tracking and reducing recurring receipt inquiries.</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Low</w:t>
            </w:r>
          </w:p>
        </w:tc>
      </w:tr>
      <w:tr>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 Immediate</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3</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Add a 'My Requests' dashboard in the MOI application displaying real-time request status, with automatic SMS notifications upon each update to licence renewal and vehicle registration stages.</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Analysis</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Addressing 4+ pending follow-up cases and reducing customer contact to inquire about request status.</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Low</w:t>
            </w:r>
          </w:p>
        </w:tc>
      </w:tr>
      <w:tr>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 Immediate</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4</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Publish a clear timeline on the MOI portal and application specifying the expected duration for receiving ownership cards and driving licences after payment, linked to an automatic notification upon expiry of the duration.</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Analysis</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Reducing 4+ non-receipt of documents cases by setting clear expectations and proactively alerting the customer.</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Low</w:t>
            </w:r>
          </w:p>
        </w:tc>
      </w:tr>
      <w:tr>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 Immediate</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5</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Activate automatic SMS notifications to the customer upon any change in the status of a licence renewal or vehicle registration request, with prominent publication of approved processing durations in the digital guide.</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Analysis</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Reducing 4+ cases of unclear request status and transitioning the customer from manual follow-up to self-tracking.</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Low</w:t>
            </w:r>
          </w:p>
        </w:tc>
      </w:tr>
      <w:tr>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 Immediate</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6</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Include the weapon permit service in the digital guide with eligibility criteria, required documents, and processing duration, with activation of SMS notifications at each review stage and addition of a direct communication channel with the Weapons Directorate.</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Analysis</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Addressing 3+ weapon permit cases and reducing random contact by providing a transparent and organised pathway.</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Low</w:t>
            </w:r>
          </w:p>
        </w:tc>
      </w:tr>
      <w:tr>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 Short-term</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7</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Build a geographical heat map radar that aggregates recurring cases geographically and classifies them by friction type, to convert January - December 2025 data into targeted infrastructure investment decisions.</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Both sources</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Converting random suggestions into decisions based on actual case density for each geographical area.</w:t>
            </w:r>
          </w:p>
        </w:tc>
        <w:tc>
          <w:tcPr>
            <w:tcW w:type="dxa" w:w="156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Low</w:t>
            </w:r>
          </w:p>
        </w:tc>
      </w:tr>
      <w:tr>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 Medium-term</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8</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Develop an intelligent router in the CRM platform that automatically classifies incoming cases and routes them to the competent government entity, with an immediate notification to the customer including a reference number and referral entity via SMS.</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Both sources</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Eliminating circular routing of cases between entities and reducing actual resolution time by removing manual redirection.</w:t>
            </w:r>
          </w:p>
        </w:tc>
        <w:tc>
          <w:tcPr>
            <w:tcW w:type="dxa" w:w="156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Medium</w:t>
            </w:r>
          </w:p>
        </w:tc>
      </w:tr>
    </w:tbl>
    <w:p/>
    <w:p>
      <w:pPr>
        <w:jc w:val="center"/>
      </w:pPr>
      <w:r>
        <w:rPr>
          <w:rFonts w:ascii="Calibri" w:hAnsi="Calibri" w:eastAsia="Calibri" w:cs="Calibri"/>
          <w:i/>
          <w:color w:val="000000"/>
          <w:sz w:val="22"/>
          <w:szCs w:val="22"/>
        </w:rPr>
        <w:t>This roadmap consolidates the recommendations of the four analyses into a tiered priority system based on the January - December 2025 data of 50 cases, with the aim of converting identified gaps into measurable improvement actions. All eight items are drawn directly from the analysis without generic recommendations, and are ranked in descending order according to the dual criteria of impact and ease of implementation.</w:t>
      </w:r>
    </w:p>
    <w:p>
      <w:pPr>
        <w:pStyle w:val="Heading1"/>
        <w:jc w:val="left"/>
      </w:pPr>
      <w:r>
        <w:rPr>
          <w:rFonts w:ascii="Calibri" w:hAnsi="Calibri" w:eastAsia="Calibri" w:cs="Calibri"/>
          <w:b/>
          <w:color w:val="B68A35"/>
          <w:sz w:val="32"/>
          <w:szCs w:val="32"/>
        </w:rPr>
        <w:t>Ninth: Conclusion — From Data to Decision</w:t>
      </w:r>
      <w:bookmarkStart w:id="23" w:name="_Toc000000023"/>
      <w:bookmarkEnd w:id="23"/>
    </w:p>
    <w:p>
      <w:pPr>
        <w:spacing w:after="120"/>
        <w:jc w:val="both"/>
      </w:pPr>
      <w:r>
        <w:rPr>
          <w:rFonts w:ascii="Calibri" w:hAnsi="Calibri" w:eastAsia="Calibri" w:cs="Calibri"/>
          <w:b w:val="0"/>
          <w:i w:val="0"/>
          <w:color w:val="000000"/>
          <w:sz w:val="24"/>
          <w:szCs w:val="24"/>
          <w:u w:val="none"/>
        </w:rPr>
        <w:t>Final Message: The fact that 94.0% of total cases were received via digital channels (application and website) coupled with a service level closure rate of 98.0% demonstrates clear operational excellence in the submission channel; however, 86.5% of friction cases arose within the digital service context itself — whether application errors, electronic renewal, or digital payment — which conclusively indicates that the gap lies not in customer access but in the service functions themselves. The reclassification of 46 out of 50 cases at a rate of 92.0% revealed that the fundamental problem is not the absence of communication channels but the absence of the required service functions, most evidently in the highest-frequency friction point — 'disputed traffic fines' — which recorded 11 cases on its own. The analyses in this report demonstrate that the solution lies in closing the six priority critical functional gaps, activating proactive notification capable of eliminating at least 4 fully deletable cases, and correcting data quality — not in adding human resources — as the real transformation begins with data and ends with a proactive decision that anticipates the customer's need.</w:t>
      </w:r>
    </w:p>
    <w:p>
      <w:pPr>
        <w:pStyle w:val="Heading2"/>
        <w:jc w:val="left"/>
      </w:pPr>
      <w:r>
        <w:rPr>
          <w:rFonts w:ascii="Calibri" w:hAnsi="Calibri" w:eastAsia="Calibri" w:cs="Calibri"/>
          <w:b/>
          <w:color w:val="B68A35"/>
          <w:sz w:val="26"/>
          <w:szCs w:val="26"/>
        </w:rPr>
        <w:t>Three Transformation Pillars</w:t>
      </w:r>
      <w:bookmarkStart w:id="24" w:name="_Toc000000024"/>
      <w:bookmarkEnd w:id="24"/>
    </w:p>
    <w:tbl>
      <w:tblPr>
        <w:tblStyle w:val="TableGrid"/>
        <w:tblW w:type="auto" w:w="0"/>
        <w:tblLook w:firstColumn="1" w:firstRow="1" w:lastColumn="0" w:lastRow="0" w:noHBand="0" w:noVBand="1" w:val="04A0"/>
        <w:tblLayout w:type="fixed"/>
      </w:tblPr>
      <w:tblGrid>
        <w:gridCol w:w="3120"/>
        <w:gridCol w:w="3120"/>
        <w:gridCol w:w="3120"/>
      </w:tblGrid>
      <w:tr>
        <w:tc>
          <w:tcPr>
            <w:tcW w:type="dxa" w:w="312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Pillar One: Accuracy</w:t>
            </w:r>
          </w:p>
        </w:tc>
        <w:tc>
          <w:tcPr>
            <w:tcW w:type="dxa" w:w="312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Pillar Two: Availability</w:t>
            </w:r>
          </w:p>
        </w:tc>
        <w:tc>
          <w:tcPr>
            <w:tcW w:type="dxa" w:w="312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Pillar Three: Intelligence</w:t>
            </w:r>
          </w:p>
        </w:tc>
      </w:tr>
      <w:tr>
        <w:tc>
          <w:tcPr>
            <w:tcW w:type="dxa" w:w="312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Improving the accuracy of request classifications</w:t>
            </w:r>
          </w:p>
        </w:tc>
        <w:tc>
          <w:tcPr>
            <w:tcW w:type="dxa" w:w="312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Immediate notification upon detection of a traffic fine with attachment of the offending vehicle's image</w:t>
            </w:r>
          </w:p>
        </w:tc>
        <w:tc>
          <w:tcPr>
            <w:tcW w:type="dxa" w:w="312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Visual Fine Validity Verification System</w:t>
            </w:r>
          </w:p>
        </w:tc>
      </w:tr>
      <w:tr>
        <w:tc>
          <w:tcPr>
            <w:tcW w:type="dxa" w:w="312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Adding root cause and processing time fields to the request resolution</w:t>
            </w:r>
          </w:p>
        </w:tc>
        <w:tc>
          <w:tcPr>
            <w:tcW w:type="dxa" w:w="312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Document delivery tracking notification (vehicle ownership document or driving licence)</w:t>
            </w:r>
          </w:p>
        </w:tc>
        <w:tc>
          <w:tcPr>
            <w:tcW w:type="dxa" w:w="312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Intelligent Case Router Between Government Entities</w:t>
            </w:r>
          </w:p>
        </w:tc>
      </w:tr>
      <w:tr>
        <w:tc>
          <w:tcPr>
            <w:tcW w:type="dxa" w:w="312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Restructuring service classification and eliminating 'Other'</w:t>
            </w:r>
          </w:p>
        </w:tc>
        <w:tc>
          <w:tcPr>
            <w:tcW w:type="dxa" w:w="312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Weapon permit request status notification</w:t>
            </w:r>
          </w:p>
        </w:tc>
        <w:tc>
          <w:tcPr>
            <w:tcW w:type="dxa" w:w="312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Automated Document Quality and Completeness Checker</w:t>
            </w:r>
          </w:p>
        </w:tc>
      </w:tr>
      <w:tr>
        <w:tc>
          <w:tcPr>
            <w:tcW w:type="dxa" w:w="312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r>
          </w:p>
        </w:tc>
        <w:tc>
          <w:tcPr>
            <w:tcW w:type="dxa" w:w="312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Notification of requirements for completing a licence renewal or vehicle registration request</w:t>
            </w:r>
          </w:p>
        </w:tc>
        <w:tc>
          <w:tcPr>
            <w:tcW w:type="dxa" w:w="3120"/>
            <w:shd w:val="clear" w:color="auto" w:fill="D9D9D9"/>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Geographical Friction Radar with Heat Map</w:t>
            </w:r>
          </w:p>
        </w:tc>
      </w:tr>
    </w:tbl>
    <w:p/>
    <w:p>
      <w:pPr>
        <w:pStyle w:val="Heading2"/>
        <w:jc w:val="left"/>
      </w:pPr>
      <w:r>
        <w:rPr>
          <w:rFonts w:ascii="Calibri" w:hAnsi="Calibri" w:eastAsia="Calibri" w:cs="Calibri"/>
          <w:b/>
          <w:color w:val="B68A35"/>
          <w:sz w:val="26"/>
          <w:szCs w:val="26"/>
        </w:rPr>
        <w:t>Expected Aggregate Impact:</w:t>
      </w:r>
      <w:bookmarkStart w:id="25" w:name="_Toc000000025"/>
      <w:bookmarkEnd w:id="25"/>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8.0%</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4+</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95%+</w:t>
            </w:r>
          </w:p>
        </w:tc>
        <w:tc>
          <w:tcPr>
            <w:tcW w:type="dxa" w:w="2340"/>
            <w:shd w:val="clear" w:color="auto" w:fill="B68A35"/>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color w:val="FFFFFF"/>
                <w:sz w:val="20"/>
                <w:szCs w:val="20"/>
              </w:rPr>
              <w:t>30-40%</w:t>
            </w:r>
          </w:p>
        </w:tc>
      </w:tr>
      <w:tr>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of contact requests are genuine inquiries fully transferable to proactive self-service</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cases eliminable through proactive notification</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case classification accuracy after the automated classifier and application of proposed initiatives</w:t>
            </w:r>
          </w:p>
        </w:tc>
        <w:tc>
          <w:tcPr>
            <w:tcW w:type="dxa" w:w="2340"/>
            <w:shd w:val="clear" w:color="auto" w:fill="FFFFFF"/>
            <w:tcMar>
              <w:top w:w="60" w:type="dxa"/>
              <w:bottom w:w="60" w:type="dxa"/>
              <w:left w:w="108" w:type="dxa"/>
              <w:right w:w="108" w:type="dxa"/>
            </w:tcMar>
            <w:tcBorders>
              <w:bottom w:val="single" w:sz="4" w:space="0" w:color="CCCCCC"/>
              <w:left w:val="single" w:sz="4" w:space="0" w:color="CCCCCC"/>
              <w:right w:val="single" w:sz="4" w:space="0" w:color="CCCCCC"/>
              <w:top w:val="single" w:sz="4" w:space="0" w:color="CCCCCC"/>
            </w:tcBorders>
          </w:tcPr>
          <w:p>
            <w:pPr>
              <w:spacing w:before="60" w:after="60"/>
              <w:jc w:val="left"/>
            </w:pPr>
            <w:r>
              <w:rPr>
                <w:rFonts w:ascii="Calibri" w:hAnsi="Calibri" w:eastAsia="Calibri" w:cs="Calibri"/>
                <w:b w:val="0"/>
                <w:color w:val="000000"/>
                <w:sz w:val="20"/>
                <w:szCs w:val="20"/>
              </w:rPr>
              <w:t>reduction in repeat contact cases and calls</w:t>
            </w:r>
          </w:p>
        </w:tc>
      </w:tr>
    </w:tbl>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12" w:space="4" w:color="B68A35"/>
      </w:pBdr>
    </w:pPr>
    <w:r>
      <w:rPr>
        <w:rFonts w:ascii="Calibri" w:hAnsi="Calibri" w:eastAsia="Calibri" w:cs="Calibri"/>
        <w:sz w:val="18"/>
        <w:szCs w:val="18"/>
      </w:rPr>
      <w:t xml:space="preserve">Confidential — Internal Use Only  |  Page </w:t>
    </w:r>
    <w:r>
      <w:fldChar w:fldCharType="begin"/>
    </w:r>
    <w: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12" w:space="4" w:color="B68A35"/>
      </w:pBdr>
    </w:pPr>
    <w:r>
      <w:rPr>
        <w:rFonts w:ascii="Calibri" w:hAnsi="Calibri" w:eastAsia="Calibri" w:cs="Calibri"/>
        <w:color w:val="B68A35"/>
        <w:sz w:val="20"/>
        <w:szCs w:val="20"/>
      </w:rPr>
      <w:t>Customer Inquiry Analysis Report  ·  January - December 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s="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cs="Calibri"/>
      <w:b/>
      <w:bCs/>
      <w:color w:val="B68A3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cs="Calibri"/>
      <w:b/>
      <w:bCs/>
      <w:color w:val="B68A3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cs="Calibri"/>
      <w:b/>
      <w:bCs/>
      <w:color w:val="B68A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Heading">
    <w:name w:val="TOC Heading"/>
    <w:basedOn w:val="Heading1"/>
    <w:next w:val="Normal"/>
    <w:uiPriority w:val="39"/>
    <w:unhideWhenUsed/>
    <w:qFormat/>
    <w:pPr>
      <w:shd w:val="clear" w:color="auto" w:fill="B68A35"/>
      <w:spacing w:before="0" w:line="240" w:lineRule="auto"/>
      <w:ind w:left="0"/>
      <w:jc w:val="left"/>
    </w:pPr>
    <w:rPr>
      <w:rFonts w:ascii="Calibri" w:hAnsi="Calibri" w:cs="Calibri"/>
      <w:b/>
      <w:bCs/>
      <w:color w:val="FFFFFF"/>
    </w:rPr>
  </w:style>
  <w:style w:type="paragraph" w:styleId="TOC1">
    <w:name w:val="toc 1"/>
    <w:basedOn w:val="Normal"/>
    <w:next w:val="Normal"/>
    <w:autoRedefine/>
    <w:uiPriority w:val="39"/>
    <w:unhideWhenUsed/>
    <w:pPr>
      <w:tabs>
        <w:tab w:val="right" w:leader="dot" w:pos="9310"/>
      </w:tabs>
      <w:spacing w:after="100"/>
      <w:jc w:val="left"/>
    </w:pPr>
    <w:rPr>
      <w:rFonts w:cs="Calibri"/>
    </w:rPr>
  </w:style>
  <w:style w:type="paragraph" w:styleId="TOC2">
    <w:name w:val="toc 2"/>
    <w:basedOn w:val="Normal"/>
    <w:next w:val="Normal"/>
    <w:autoRedefine/>
    <w:uiPriority w:val="39"/>
    <w:unhideWhenUsed/>
    <w:pPr>
      <w:tabs>
        <w:tab w:val="right" w:leader="dot" w:pos="9310"/>
      </w:tabs>
      <w:spacing w:after="100"/>
      <w:jc w:val="left"/>
    </w:pPr>
    <w:rPr>
      <w:rFonts w:cs="Calibri"/>
    </w:rPr>
  </w:style>
  <w:style w:type="paragraph" w:styleId="TOC3">
    <w:name w:val="toc 3"/>
    <w:basedOn w:val="Normal"/>
    <w:next w:val="Normal"/>
    <w:autoRedefine/>
    <w:uiPriority w:val="39"/>
    <w:unhideWhenUsed/>
    <w:pPr>
      <w:tabs>
        <w:tab w:val="right" w:leader="dot" w:pos="9310"/>
      </w:tabs>
      <w:spacing w:after="100"/>
      <w:jc w:val="left"/>
    </w:pPr>
    <w:rPr>
      <w:rFonts w:cs="Calibri"/>
    </w:rPr>
  </w:style>
  <w:style w:type="character" w:styleId="Hyperlink">
    <w:name w:val="Hyperlink"/>
    <w:basedOn w:val="DefaultParagraphFont"/>
    <w:uiPriority w:val="99"/>
    <w:unhideWhenUsed/>
    <w:rPr>
      <w:color w:val="0563C1"/>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chart1_data.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lang="ar-SA" sz="1200"/>
              <a:t>Original Classification vs. Correct Classification</a:t>
            </a:r>
          </a:p>
        </c:rich>
      </c:tx>
      <c:overlay val="0"/>
    </c:title>
    <c:plotArea>
      <c:layout/>
      <c:barChart>
        <c:barDir val="bar"/>
        <c:grouping val="clustered"/>
        <c:varyColors val="0"/>
        <c:ser>
          <c:idx val="0"/>
          <c:order val="0"/>
          <c:tx>
            <c:strRef>
              <c:f>Sheet1!$B$1</c:f>
              <c:strCache>
                <c:ptCount val="1"/>
                <c:pt idx="0">
                  <c:v>Original Classification</c:v>
                </c:pt>
              </c:strCache>
            </c:strRef>
          </c:tx>
          <c:spPr>
            <a:solidFill>
              <a:srgbClr val="2E5090"/>
            </a:solidFill>
            <a:ln>
              <a:solidFill>
                <a:srgbClr val="2E5090"/>
              </a:solidFill>
            </a:ln>
          </c:spPr>
          <c:cat>
            <c:strRef>
              <c:f>Sheet1!$A$2:$A$5</c:f>
              <c:strCache>
                <c:ptCount val="4"/>
                <c:pt idx="0">
                  <c:v>Complaint</c:v>
                </c:pt>
                <c:pt idx="1">
                  <c:v>Inquiry</c:v>
                </c:pt>
                <c:pt idx="2">
                  <c:v>Request</c:v>
                </c:pt>
                <c:pt idx="3">
                  <c:v>Compliment</c:v>
                </c:pt>
              </c:strCache>
            </c:strRef>
          </c:cat>
          <c:val>
            <c:numRef>
              <c:f>Sheet1!$B$2:$B$5</c:f>
              <c:numCache>
                <c:formatCode>General</c:formatCode>
                <c:ptCount val="4"/>
                <c:pt idx="0">
                  <c:v>0.0</c:v>
                </c:pt>
                <c:pt idx="1">
                  <c:v>50.0</c:v>
                </c:pt>
                <c:pt idx="2">
                  <c:v>0.0</c:v>
                </c:pt>
                <c:pt idx="3">
                  <c:v>0.0</c:v>
                </c:pt>
              </c:numCache>
            </c:numRef>
          </c:val>
        </c:ser>
        <c:ser>
          <c:idx val="1"/>
          <c:order val="1"/>
          <c:tx>
            <c:strRef>
              <c:f>Sheet1!$C$1</c:f>
              <c:strCache>
                <c:ptCount val="1"/>
                <c:pt idx="0">
                  <c:v>Correct Classification</c:v>
                </c:pt>
              </c:strCache>
            </c:strRef>
          </c:tx>
          <c:spPr>
            <a:solidFill>
              <a:srgbClr val="B68A35"/>
            </a:solidFill>
            <a:ln>
              <a:solidFill>
                <a:srgbClr val="B68A35"/>
              </a:solidFill>
            </a:ln>
          </c:spPr>
          <c:cat>
            <c:strRef>
              <c:f>Sheet1!$A$2:$A$5</c:f>
              <c:strCache>
                <c:ptCount val="4"/>
                <c:pt idx="0">
                  <c:v>Complaint</c:v>
                </c:pt>
                <c:pt idx="1">
                  <c:v>Inquiry</c:v>
                </c:pt>
                <c:pt idx="2">
                  <c:v>Request</c:v>
                </c:pt>
                <c:pt idx="3">
                  <c:v>Compliment</c:v>
                </c:pt>
              </c:strCache>
            </c:strRef>
          </c:cat>
          <c:val>
            <c:numRef>
              <c:f>Sheet1!$C$2:$C$5</c:f>
              <c:numCache>
                <c:formatCode>General</c:formatCode>
                <c:ptCount val="4"/>
                <c:pt idx="0">
                  <c:v>30.0</c:v>
                </c:pt>
                <c:pt idx="1">
                  <c:v>4.0</c:v>
                </c:pt>
                <c:pt idx="2">
                  <c:v>16.0</c:v>
                </c:pt>
                <c:pt idx="3">
                  <c:v>0.0</c:v>
                </c:pt>
              </c:numCache>
            </c:numRef>
          </c:val>
        </c:ser>
        <c:axId val="1"/>
        <c:axId val="2"/>
      </c:barChart>
      <c:catAx>
        <c:axId val="1"/>
        <c:scaling>
          <c:orientation val="minMax"/>
        </c:scaling>
        <c:delete val="0"/>
        <c:axPos val="b"/>
        <c:majorTickMark val="out"/>
        <c:minorTickMark val="none"/>
        <c:tickLblPos val="nextTo"/>
        <c:crossAx val="2"/>
        <c:crosses val="autoZero"/>
        <c:auto val="1"/>
        <c:lblAlgn val="ctr"/>
        <c:lblOffset val="100"/>
        <c:noMultiLvlLbl val="0"/>
        <c:txPr>
          <a:bodyPr/>
          <a:lstStyle/>
          <a:p>
            <a:pPr>
              <a:defRPr sz="900"/>
            </a:pPr>
          </a:p>
        </c:txPr>
      </c:catAx>
      <c:valAx>
        <c:axId val="2"/>
        <c:scaling/>
        <c:delete val="0"/>
        <c:axPos val="l"/>
        <c:majorGridlines/>
        <c:majorTickMark val="out"/>
        <c:minorTickMark val="none"/>
        <c:tickLblPos val="nextTo"/>
        <c:crossAx val="1"/>
        <c:crosses val="autoZero"/>
        <c:txPr>
          <a:bodyPr/>
          <a:lstStyle/>
          <a:p>
            <a:pPr>
              <a:defRPr sz="900"/>
            </a:pPr>
          </a:p>
        </c:txPr>
      </c:valAx>
      <c:spPr>
        <a:solidFill>
          <a:srgbClr val="FFFFFF"/>
        </a:solidFill>
      </c:spPr>
    </c:plotArea>
    <c:dispBlanksAs val="gap"/>
    <c:legend>
      <c:legendPos val="b"/>
      <c:overlay val="0"/>
      <c:txPr>
        <a:bodyPr/>
        <a:lstStyle/>
        <a:p>
          <a:pPr>
            <a:defRPr sz="900"/>
          </a:pPr>
        </a:p>
      </c:txPr>
    </c:legend>
    <c:plotVisOnly val="1"/>
  </c:chart>
  <c:txPr>
    <a:bodyPr/>
    <a:lstStyle/>
    <a:p>
      <a:pPr>
        <a:defRPr sz="1800"/>
      </a:pPr>
      <a:endParaRPr lang="en-U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