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embeddings/chart1_data.xlsx" ContentType="application/vnd.openxmlformats-officedocument.spreadsheetml.shee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c="http://schemas.openxmlformats.org/drawingml/2006/chart" mc:Ignorable="w14 wp14">
  <w:body>
    <w:p>
      <w:pPr>
        <w:spacing w:before="0" w:after="240"/>
      </w:pPr>
    </w:p>
    <w:p>
      <w:pPr>
        <w:jc w:val="center"/>
      </w:pPr>
      <w:r>
        <w:drawing>
          <wp:inline xmlns:pic="http://schemas.openxmlformats.org/drawingml/2006/picture">
            <wp:extent cx="1508400" cy="986400"/>
            <wp:docPr id="1" name="Picture 1"/>
            <wp:cNvGraphicFramePr>
              <a:graphicFrameLocks noChangeAspect="1"/>
            </wp:cNvGraphicFramePr>
            <a:graphic>
              <a:graphicData uri="http://schemas.openxmlformats.org/drawingml/2006/picture">
                <pic:pic>
                  <pic:nvPicPr>
                    <pic:cNvPr id="0" name="fujairah-short-logo.png"/>
                    <pic:cNvPicPr/>
                  </pic:nvPicPr>
                  <pic:blipFill>
                    <a:blip r:embed="rId11"/>
                    <a:stretch>
                      <a:fillRect/>
                    </a:stretch>
                  </pic:blipFill>
                  <pic:spPr>
                    <a:xfrm>
                      <a:off x="0" y="0"/>
                      <a:ext cx="1508400" cy="986400"/>
                    </a:xfrm>
                    <a:prstGeom prst="rect"/>
                  </pic:spPr>
                </pic:pic>
              </a:graphicData>
            </a:graphic>
          </wp:inline>
        </w:drawing>
      </w:r>
    </w:p>
    <w:p>
      <w:pPr>
        <w:spacing w:before="160" w:after="160"/>
        <w:pBdr>
          <w:bottom w:val="single" w:sz="12" w:space="4" w:color="B68A35"/>
        </w:pBdr>
      </w:pPr>
    </w:p>
    <w:p>
      <w:pPr>
        <w:bidi w:val="1"/>
        <w:pStyle w:val="Heading1"/>
        <w:spacing w:before="240" w:after="240"/>
        <w:jc w:val="center"/>
      </w:pPr>
      <w:r>
        <w:rPr>
          <w:rFonts w:ascii="Dubai" w:hAnsi="Dubai" w:eastAsia="Dubai" w:cs="Dubai"/>
          <w:b/>
          <w:color w:val="B68A35"/>
          <w:sz w:val="52"/>
          <w:szCs w:val="32"/>
          <w:rtl/>
        </w:rPr>
        <w:t>تقرير تحليل استفسارات المتعاملين — فبراير - يوليو 2025</w:t>
      </w:r>
      <w:bookmarkStart w:id="1" w:name="_Toc000000001"/>
      <w:bookmarkEnd w:id="1"/>
    </w:p>
    <w:p>
      <w:pPr>
        <w:spacing w:before="160" w:after="160"/>
        <w:pBdr>
          <w:bottom w:val="single" w:sz="12" w:space="4" w:color="B68A35"/>
        </w:pBdr>
      </w:pPr>
    </w:p>
    <w:p>
      <w:pPr>
        <w:spacing w:before="0" w:after="320"/>
      </w:pPr>
    </w:p>
    <w:p>
      <w:pPr>
        <w:bidi w:val="1"/>
        <w:spacing w:after="160"/>
        <w:jc w:val="center"/>
      </w:pPr>
      <w:r>
        <w:rPr>
          <w:rFonts w:ascii="Dubai" w:hAnsi="Dubai" w:eastAsia="Dubai" w:cs="Dubai"/>
          <w:b/>
          <w:i w:val="0"/>
          <w:color w:val="B68A35"/>
          <w:sz w:val="28"/>
          <w:szCs w:val="24"/>
          <w:u w:val="none"/>
          <w:rtl/>
        </w:rPr>
        <w:t>فبراير - يوليو 2025</w:t>
      </w:r>
    </w:p>
    <w:p>
      <w:pPr>
        <w:spacing w:before="0" w:after="320"/>
      </w:pPr>
    </w:p>
    <w:p>
      <w:pPr>
        <w:bidi w:val="1"/>
        <w:spacing w:after="160"/>
        <w:jc w:val="center"/>
      </w:pPr>
      <w:r>
        <w:rPr>
          <w:rFonts w:ascii="Dubai" w:hAnsi="Dubai" w:eastAsia="Dubai" w:cs="Dubai"/>
          <w:b/>
          <w:i w:val="0"/>
          <w:color w:val="B68A35"/>
          <w:sz w:val="28"/>
          <w:szCs w:val="24"/>
          <w:u w:val="none"/>
          <w:rtl/>
        </w:rPr>
        <w:t>إجمالي الحالات المغلقة: 11 حالة</w:t>
      </w:r>
    </w:p>
    <w:p>
      <w:pPr>
        <w:bidi w:val="1"/>
        <w:spacing w:after="160"/>
        <w:jc w:val="center"/>
      </w:pPr>
      <w:r>
        <w:rPr>
          <w:rFonts w:ascii="Dubai" w:hAnsi="Dubai" w:eastAsia="Dubai" w:cs="Dubai"/>
          <w:b/>
          <w:i w:val="0"/>
          <w:color w:val="B68A35"/>
          <w:sz w:val="28"/>
          <w:szCs w:val="24"/>
          <w:u w:val="none"/>
          <w:rtl/>
        </w:rPr>
        <w:t>الشكاوى: 90.9% من إجمالي التواصل</w:t>
      </w:r>
    </w:p>
    <w:p>
      <w:pPr>
        <w:bidi w:val="1"/>
        <w:spacing w:after="160"/>
        <w:jc w:val="center"/>
      </w:pPr>
      <w:r>
        <w:rPr>
          <w:rFonts w:ascii="Dubai" w:hAnsi="Dubai" w:eastAsia="Dubai" w:cs="Dubai"/>
          <w:b/>
          <w:i w:val="0"/>
          <w:color w:val="B68A35"/>
          <w:sz w:val="28"/>
          <w:szCs w:val="24"/>
          <w:u w:val="none"/>
          <w:rtl/>
        </w:rPr>
        <w:t>معدل الإغلاق في الوقت المحدد: 98%</w:t>
      </w:r>
    </w:p>
    <w:p>
      <w:pPr>
        <w:spacing w:before="0" w:after="640"/>
      </w:pPr>
    </w:p>
    <w:p>
      <w:pPr>
        <w:bidi w:val="1"/>
        <w:spacing w:after="0"/>
        <w:jc w:val="center"/>
      </w:pPr>
      <w:r>
        <w:rPr>
          <w:rFonts w:ascii="Dubai" w:hAnsi="Dubai" w:eastAsia="Dubai" w:cs="Dubai"/>
          <w:b w:val="0"/>
          <w:i w:val="0"/>
          <w:color w:val="606060"/>
          <w:sz w:val="24"/>
          <w:szCs w:val="24"/>
          <w:u w:val="none"/>
          <w:rtl/>
        </w:rPr>
        <w:t>شرطة الفجيرة  |  2026-05-12  |  تحليل ذكاء األعمال المتكامل</w:t>
      </w:r>
    </w:p>
    <w:p>
      <w:r>
        <w:br w:type="page"/>
      </w:r>
    </w:p>
    <w:sdt>
      <w:sdtPr>
        <w:docPartObj>
          <w:docPartGallery w:val="Table of Contents"/>
          <w:docPartUnique/>
        </w:docPartObj>
      </w:sdtPr>
      <w:sdtEndPr/>
      <w:sdtContent>
        <w:p>
          <w:pPr>
            <w:pStyle w:val="TOCHeading"/>
          </w:pPr>
          <w:r>
            <w:rPr>
              <w:rFonts w:ascii="Dubai" w:hAnsi="Dubai" w:cs="Dubai"/>
              <w:color w:val="FFFFFF"/>
              <w:rtl/>
            </w:rPr>
            <w:t>المحتويات</w:t>
          </w:r>
        </w:p>
        <w:p>
          <w:pPr>
            <w:pStyle w:val="TOC1"/>
          </w:pPr>
          <w:r>
            <w:fldChar w:fldCharType="begin"/>
          </w:r>
          <w:r>
            <w:instrText xml:space="preserve"> TOC \o "1-3" \h \z \u </w:instrText>
          </w:r>
          <w:r>
            <w:fldChar w:fldCharType="separate"/>
          </w:r>
          <w:hyperlink w:anchor="_Toc000000002" w:history="1">
            <w:r>
              <w:rPr>
                <w:rStyle w:val="Hyperlink"/>
                <w:rFonts w:ascii="Dubai" w:hAnsi="Dubai" w:cs="Dubai"/>
                <w:noProof/>
                <w:rtl/>
              </w:rPr>
              <w:t>أولاً: الملخص التنفيذي — التحليلات الرئيسية</w:t>
            </w:r>
            <w:r>
              <w:rPr>
                <w:noProof/>
                <w:webHidden/>
              </w:rPr>
              <w:tab/>
            </w:r>
            <w:r>
              <w:fldChar w:fldCharType="begin"/>
            </w:r>
            <w:r>
              <w:instrText xml:space="preserve"> PAGEREF _Toc000000002 \h </w:instrText>
            </w:r>
            <w:r>
              <w:rPr>
                <w:noProof/>
                <w:webHidden/>
              </w:rPr>
              <w:fldChar w:fldCharType="separate"/>
            </w:r>
            <w:r>
              <w:rPr>
                <w:noProof/>
                <w:webHidden/>
                <w:rtl/>
              </w:rPr>
              <w:t>1</w:t>
            </w:r>
            <w:r>
              <w:rPr>
                <w:noProof/>
                <w:webHidden/>
              </w:rPr>
              <w:fldChar w:fldCharType="end"/>
            </w:r>
          </w:hyperlink>
        </w:p>
        <w:p>
          <w:pPr>
            <w:pStyle w:val="TOC2"/>
          </w:pPr>
          <w:hyperlink w:anchor="_Toc000000003" w:history="1">
            <w:r>
              <w:rPr>
                <w:rStyle w:val="Hyperlink"/>
                <w:rFonts w:ascii="Dubai" w:hAnsi="Dubai" w:cs="Dubai"/>
                <w:noProof/>
                <w:rtl/>
              </w:rPr>
              <w:t>النتائج الرئيسية</w:t>
            </w:r>
            <w:r>
              <w:rPr>
                <w:noProof/>
                <w:webHidden/>
              </w:rPr>
              <w:tab/>
            </w:r>
            <w:r>
              <w:fldChar w:fldCharType="begin"/>
            </w:r>
            <w:r>
              <w:instrText xml:space="preserve"> PAGEREF _Toc000000003 \h </w:instrText>
            </w:r>
            <w:r>
              <w:rPr>
                <w:noProof/>
                <w:webHidden/>
              </w:rPr>
              <w:fldChar w:fldCharType="separate"/>
            </w:r>
            <w:r>
              <w:rPr>
                <w:noProof/>
                <w:webHidden/>
                <w:rtl/>
              </w:rPr>
              <w:t>1</w:t>
            </w:r>
            <w:r>
              <w:rPr>
                <w:noProof/>
                <w:webHidden/>
              </w:rPr>
              <w:fldChar w:fldCharType="end"/>
            </w:r>
          </w:hyperlink>
        </w:p>
        <w:p>
          <w:pPr>
            <w:pStyle w:val="TOC1"/>
          </w:pPr>
          <w:hyperlink w:anchor="_Toc000000004" w:history="1">
            <w:r>
              <w:rPr>
                <w:rStyle w:val="Hyperlink"/>
                <w:rFonts w:ascii="Dubai" w:hAnsi="Dubai" w:cs="Dubai"/>
                <w:noProof/>
                <w:rtl/>
              </w:rPr>
              <w:t>ثانياً: المنهجية وطبيعة المصادر</w:t>
            </w:r>
            <w:r>
              <w:rPr>
                <w:noProof/>
                <w:webHidden/>
              </w:rPr>
              <w:tab/>
            </w:r>
            <w:r>
              <w:fldChar w:fldCharType="begin"/>
            </w:r>
            <w:r>
              <w:instrText xml:space="preserve"> PAGEREF _Toc000000004 \h </w:instrText>
            </w:r>
            <w:r>
              <w:rPr>
                <w:noProof/>
                <w:webHidden/>
              </w:rPr>
              <w:fldChar w:fldCharType="separate"/>
            </w:r>
            <w:r>
              <w:rPr>
                <w:noProof/>
                <w:webHidden/>
                <w:rtl/>
              </w:rPr>
              <w:t>1</w:t>
            </w:r>
            <w:r>
              <w:rPr>
                <w:noProof/>
                <w:webHidden/>
              </w:rPr>
              <w:fldChar w:fldCharType="end"/>
            </w:r>
          </w:hyperlink>
        </w:p>
        <w:p>
          <w:pPr>
            <w:pStyle w:val="TOC2"/>
          </w:pPr>
          <w:hyperlink w:anchor="_Toc000000005" w:history="1">
            <w:r>
              <w:rPr>
                <w:rStyle w:val="Hyperlink"/>
                <w:rFonts w:ascii="Dubai" w:hAnsi="Dubai" w:cs="Dubai"/>
                <w:noProof/>
                <w:rtl/>
              </w:rPr>
              <w:t>2.1  المصادر المُحلَّلة</w:t>
            </w:r>
            <w:r>
              <w:rPr>
                <w:noProof/>
                <w:webHidden/>
              </w:rPr>
              <w:tab/>
            </w:r>
            <w:r>
              <w:fldChar w:fldCharType="begin"/>
            </w:r>
            <w:r>
              <w:instrText xml:space="preserve"> PAGEREF _Toc000000005 \h </w:instrText>
            </w:r>
            <w:r>
              <w:rPr>
                <w:noProof/>
                <w:webHidden/>
              </w:rPr>
              <w:fldChar w:fldCharType="separate"/>
            </w:r>
            <w:r>
              <w:rPr>
                <w:noProof/>
                <w:webHidden/>
                <w:rtl/>
              </w:rPr>
              <w:t>1</w:t>
            </w:r>
            <w:r>
              <w:rPr>
                <w:noProof/>
                <w:webHidden/>
              </w:rPr>
              <w:fldChar w:fldCharType="end"/>
            </w:r>
          </w:hyperlink>
        </w:p>
        <w:p>
          <w:pPr>
            <w:pStyle w:val="TOC2"/>
          </w:pPr>
          <w:hyperlink w:anchor="_Toc000000006" w:history="1">
            <w:r>
              <w:rPr>
                <w:rStyle w:val="Hyperlink"/>
                <w:rFonts w:ascii="Dubai" w:hAnsi="Dubai" w:cs="Dubai"/>
                <w:noProof/>
                <w:rtl/>
              </w:rPr>
              <w:t>2.2  منهجية التصنيف</w:t>
            </w:r>
            <w:r>
              <w:rPr>
                <w:noProof/>
                <w:webHidden/>
              </w:rPr>
              <w:tab/>
            </w:r>
            <w:r>
              <w:fldChar w:fldCharType="begin"/>
            </w:r>
            <w:r>
              <w:instrText xml:space="preserve"> PAGEREF _Toc000000006 \h </w:instrText>
            </w:r>
            <w:r>
              <w:rPr>
                <w:noProof/>
                <w:webHidden/>
              </w:rPr>
              <w:fldChar w:fldCharType="separate"/>
            </w:r>
            <w:r>
              <w:rPr>
                <w:noProof/>
                <w:webHidden/>
                <w:rtl/>
              </w:rPr>
              <w:t>1</w:t>
            </w:r>
            <w:r>
              <w:rPr>
                <w:noProof/>
                <w:webHidden/>
              </w:rPr>
              <w:fldChar w:fldCharType="end"/>
            </w:r>
          </w:hyperlink>
        </w:p>
        <w:p>
          <w:pPr>
            <w:pStyle w:val="TOC2"/>
          </w:pPr>
          <w:hyperlink w:anchor="_Toc000000007" w:history="1">
            <w:r>
              <w:rPr>
                <w:rStyle w:val="Hyperlink"/>
                <w:rFonts w:ascii="Dubai" w:hAnsi="Dubai" w:cs="Dubai"/>
                <w:noProof/>
                <w:rtl/>
              </w:rPr>
              <w:t>2.3  الحقول المُحلَّلة</w:t>
            </w:r>
            <w:r>
              <w:rPr>
                <w:noProof/>
                <w:webHidden/>
              </w:rPr>
              <w:tab/>
            </w:r>
            <w:r>
              <w:fldChar w:fldCharType="begin"/>
            </w:r>
            <w:r>
              <w:instrText xml:space="preserve"> PAGEREF _Toc000000007 \h </w:instrText>
            </w:r>
            <w:r>
              <w:rPr>
                <w:noProof/>
                <w:webHidden/>
              </w:rPr>
              <w:fldChar w:fldCharType="separate"/>
            </w:r>
            <w:r>
              <w:rPr>
                <w:noProof/>
                <w:webHidden/>
                <w:rtl/>
              </w:rPr>
              <w:t>1</w:t>
            </w:r>
            <w:r>
              <w:rPr>
                <w:noProof/>
                <w:webHidden/>
              </w:rPr>
              <w:fldChar w:fldCharType="end"/>
            </w:r>
          </w:hyperlink>
        </w:p>
        <w:p>
          <w:pPr>
            <w:pStyle w:val="TOC1"/>
          </w:pPr>
          <w:hyperlink w:anchor="_Toc000000008" w:history="1">
            <w:r>
              <w:rPr>
                <w:rStyle w:val="Hyperlink"/>
                <w:rFonts w:ascii="Dubai" w:hAnsi="Dubai" w:cs="Dubai"/>
                <w:noProof/>
                <w:rtl/>
              </w:rPr>
              <w:t>ثالثاً: التحليل الأول — خريطة تصنيف الطلبات</w:t>
            </w:r>
            <w:r>
              <w:rPr>
                <w:noProof/>
                <w:webHidden/>
              </w:rPr>
              <w:tab/>
            </w:r>
            <w:r>
              <w:fldChar w:fldCharType="begin"/>
            </w:r>
            <w:r>
              <w:instrText xml:space="preserve"> PAGEREF _Toc000000008 \h </w:instrText>
            </w:r>
            <w:r>
              <w:rPr>
                <w:noProof/>
                <w:webHidden/>
              </w:rPr>
              <w:fldChar w:fldCharType="separate"/>
            </w:r>
            <w:r>
              <w:rPr>
                <w:noProof/>
                <w:webHidden/>
                <w:rtl/>
              </w:rPr>
              <w:t>1</w:t>
            </w:r>
            <w:r>
              <w:rPr>
                <w:noProof/>
                <w:webHidden/>
              </w:rPr>
              <w:fldChar w:fldCharType="end"/>
            </w:r>
          </w:hyperlink>
        </w:p>
        <w:p>
          <w:pPr>
            <w:pStyle w:val="TOC2"/>
          </w:pPr>
          <w:hyperlink w:anchor="_Toc000000009" w:history="1">
            <w:r>
              <w:rPr>
                <w:rStyle w:val="Hyperlink"/>
                <w:rFonts w:ascii="Dubai" w:hAnsi="Dubai" w:cs="Dubai"/>
                <w:noProof/>
                <w:rtl/>
              </w:rPr>
              <w:t>3.1  التوزيع الفعلي لأنواع التواصل</w:t>
            </w:r>
            <w:r>
              <w:rPr>
                <w:noProof/>
                <w:webHidden/>
              </w:rPr>
              <w:tab/>
            </w:r>
            <w:r>
              <w:fldChar w:fldCharType="begin"/>
            </w:r>
            <w:r>
              <w:instrText xml:space="preserve"> PAGEREF _Toc000000009 \h </w:instrText>
            </w:r>
            <w:r>
              <w:rPr>
                <w:noProof/>
                <w:webHidden/>
              </w:rPr>
              <w:fldChar w:fldCharType="separate"/>
            </w:r>
            <w:r>
              <w:rPr>
                <w:noProof/>
                <w:webHidden/>
                <w:rtl/>
              </w:rPr>
              <w:t>1</w:t>
            </w:r>
            <w:r>
              <w:rPr>
                <w:noProof/>
                <w:webHidden/>
              </w:rPr>
              <w:fldChar w:fldCharType="end"/>
            </w:r>
          </w:hyperlink>
        </w:p>
        <w:p>
          <w:pPr>
            <w:pStyle w:val="TOC2"/>
          </w:pPr>
          <w:hyperlink w:anchor="_Toc000000010" w:history="1">
            <w:r>
              <w:rPr>
                <w:rStyle w:val="Hyperlink"/>
                <w:rFonts w:ascii="Dubai" w:hAnsi="Dubai" w:cs="Dubai"/>
                <w:noProof/>
                <w:rtl/>
              </w:rPr>
              <w:t>3.2  دقة التصنيف — 100.0% من الحالات تم إعادة تصنيفها</w:t>
            </w:r>
            <w:r>
              <w:rPr>
                <w:noProof/>
                <w:webHidden/>
              </w:rPr>
              <w:tab/>
            </w:r>
            <w:r>
              <w:fldChar w:fldCharType="begin"/>
            </w:r>
            <w:r>
              <w:instrText xml:space="preserve"> PAGEREF _Toc000000010 \h </w:instrText>
            </w:r>
            <w:r>
              <w:rPr>
                <w:noProof/>
                <w:webHidden/>
              </w:rPr>
              <w:fldChar w:fldCharType="separate"/>
            </w:r>
            <w:r>
              <w:rPr>
                <w:noProof/>
                <w:webHidden/>
                <w:rtl/>
              </w:rPr>
              <w:t>1</w:t>
            </w:r>
            <w:r>
              <w:rPr>
                <w:noProof/>
                <w:webHidden/>
              </w:rPr>
              <w:fldChar w:fldCharType="end"/>
            </w:r>
          </w:hyperlink>
        </w:p>
        <w:p>
          <w:pPr>
            <w:pStyle w:val="TOC2"/>
          </w:pPr>
          <w:hyperlink w:anchor="_Toc000000011" w:history="1">
            <w:r>
              <w:rPr>
                <w:rStyle w:val="Hyperlink"/>
                <w:rFonts w:ascii="Dubai" w:hAnsi="Dubai" w:cs="Dubai"/>
                <w:noProof/>
                <w:rtl/>
              </w:rPr>
              <w:t>3.3  تفصيل الشكاوى (10 حالة — 90.9%)</w:t>
            </w:r>
            <w:r>
              <w:rPr>
                <w:noProof/>
                <w:webHidden/>
              </w:rPr>
              <w:tab/>
            </w:r>
            <w:r>
              <w:fldChar w:fldCharType="begin"/>
            </w:r>
            <w:r>
              <w:instrText xml:space="preserve"> PAGEREF _Toc000000011 \h </w:instrText>
            </w:r>
            <w:r>
              <w:rPr>
                <w:noProof/>
                <w:webHidden/>
              </w:rPr>
              <w:fldChar w:fldCharType="separate"/>
            </w:r>
            <w:r>
              <w:rPr>
                <w:noProof/>
                <w:webHidden/>
                <w:rtl/>
              </w:rPr>
              <w:t>1</w:t>
            </w:r>
            <w:r>
              <w:rPr>
                <w:noProof/>
                <w:webHidden/>
              </w:rPr>
              <w:fldChar w:fldCharType="end"/>
            </w:r>
          </w:hyperlink>
        </w:p>
        <w:p>
          <w:pPr>
            <w:pStyle w:val="TOC2"/>
          </w:pPr>
          <w:hyperlink w:anchor="_Toc000000012" w:history="1">
            <w:r>
              <w:rPr>
                <w:rStyle w:val="Hyperlink"/>
                <w:rFonts w:ascii="Dubai" w:hAnsi="Dubai" w:cs="Dubai"/>
                <w:noProof/>
                <w:rtl/>
              </w:rPr>
              <w:t>3.4  تفصيل الطلبات والاستفسارات</w:t>
            </w:r>
            <w:r>
              <w:rPr>
                <w:noProof/>
                <w:webHidden/>
              </w:rPr>
              <w:tab/>
            </w:r>
            <w:r>
              <w:fldChar w:fldCharType="begin"/>
            </w:r>
            <w:r>
              <w:instrText xml:space="preserve"> PAGEREF _Toc000000012 \h </w:instrText>
            </w:r>
            <w:r>
              <w:rPr>
                <w:noProof/>
                <w:webHidden/>
              </w:rPr>
              <w:fldChar w:fldCharType="separate"/>
            </w:r>
            <w:r>
              <w:rPr>
                <w:noProof/>
                <w:webHidden/>
                <w:rtl/>
              </w:rPr>
              <w:t>1</w:t>
            </w:r>
            <w:r>
              <w:rPr>
                <w:noProof/>
                <w:webHidden/>
              </w:rPr>
              <w:fldChar w:fldCharType="end"/>
            </w:r>
          </w:hyperlink>
        </w:p>
        <w:p>
          <w:pPr>
            <w:pStyle w:val="TOC2"/>
          </w:pPr>
          <w:hyperlink w:anchor="_Toc000000013" w:history="1">
            <w:r>
              <w:rPr>
                <w:rStyle w:val="Hyperlink"/>
                <w:rFonts w:ascii="Dubai" w:hAnsi="Dubai" w:cs="Dubai"/>
                <w:noProof/>
                <w:rtl/>
              </w:rPr>
              <w:t>3.5  الاستفسارات المتكررة</w:t>
            </w:r>
            <w:r>
              <w:rPr>
                <w:noProof/>
                <w:webHidden/>
              </w:rPr>
              <w:tab/>
            </w:r>
            <w:r>
              <w:fldChar w:fldCharType="begin"/>
            </w:r>
            <w:r>
              <w:instrText xml:space="preserve"> PAGEREF _Toc000000013 \h </w:instrText>
            </w:r>
            <w:r>
              <w:rPr>
                <w:noProof/>
                <w:webHidden/>
              </w:rPr>
              <w:fldChar w:fldCharType="separate"/>
            </w:r>
            <w:r>
              <w:rPr>
                <w:noProof/>
                <w:webHidden/>
                <w:rtl/>
              </w:rPr>
              <w:t>1</w:t>
            </w:r>
            <w:r>
              <w:rPr>
                <w:noProof/>
                <w:webHidden/>
              </w:rPr>
              <w:fldChar w:fldCharType="end"/>
            </w:r>
          </w:hyperlink>
        </w:p>
        <w:p>
          <w:pPr>
            <w:pStyle w:val="TOC1"/>
          </w:pPr>
          <w:hyperlink w:anchor="_Toc000000014" w:history="1">
            <w:r>
              <w:rPr>
                <w:rStyle w:val="Hyperlink"/>
                <w:rFonts w:ascii="Dubai" w:hAnsi="Dubai" w:cs="Dubai"/>
                <w:noProof/>
                <w:rtl/>
              </w:rPr>
              <w:t>رابعاً: التحليل الثاني — التحديات في رحلة المتعامل</w:t>
            </w:r>
            <w:r>
              <w:rPr>
                <w:noProof/>
                <w:webHidden/>
              </w:rPr>
              <w:tab/>
            </w:r>
            <w:r>
              <w:fldChar w:fldCharType="begin"/>
            </w:r>
            <w:r>
              <w:instrText xml:space="preserve"> PAGEREF _Toc000000014 \h </w:instrText>
            </w:r>
            <w:r>
              <w:rPr>
                <w:noProof/>
                <w:webHidden/>
              </w:rPr>
              <w:fldChar w:fldCharType="separate"/>
            </w:r>
            <w:r>
              <w:rPr>
                <w:noProof/>
                <w:webHidden/>
                <w:rtl/>
              </w:rPr>
              <w:t>1</w:t>
            </w:r>
            <w:r>
              <w:rPr>
                <w:noProof/>
                <w:webHidden/>
              </w:rPr>
              <w:fldChar w:fldCharType="end"/>
            </w:r>
          </w:hyperlink>
        </w:p>
        <w:p>
          <w:pPr>
            <w:pStyle w:val="TOC1"/>
          </w:pPr>
          <w:hyperlink w:anchor="_Toc000000015" w:history="1">
            <w:r>
              <w:rPr>
                <w:rStyle w:val="Hyperlink"/>
                <w:rFonts w:ascii="Dubai" w:hAnsi="Dubai" w:cs="Dubai"/>
                <w:noProof/>
                <w:rtl/>
              </w:rPr>
              <w:t>خامساً: التحليل الثالث — تحليل الفجوات الرقمية</w:t>
            </w:r>
            <w:r>
              <w:rPr>
                <w:noProof/>
                <w:webHidden/>
              </w:rPr>
              <w:tab/>
            </w:r>
            <w:r>
              <w:fldChar w:fldCharType="begin"/>
            </w:r>
            <w:r>
              <w:instrText xml:space="preserve"> PAGEREF _Toc000000015 \h </w:instrText>
            </w:r>
            <w:r>
              <w:rPr>
                <w:noProof/>
                <w:webHidden/>
              </w:rPr>
              <w:fldChar w:fldCharType="separate"/>
            </w:r>
            <w:r>
              <w:rPr>
                <w:noProof/>
                <w:webHidden/>
                <w:rtl/>
              </w:rPr>
              <w:t>1</w:t>
            </w:r>
            <w:r>
              <w:rPr>
                <w:noProof/>
                <w:webHidden/>
              </w:rPr>
              <w:fldChar w:fldCharType="end"/>
            </w:r>
          </w:hyperlink>
        </w:p>
        <w:p>
          <w:pPr>
            <w:pStyle w:val="TOC2"/>
          </w:pPr>
          <w:hyperlink w:anchor="_Toc000000016" w:history="1">
            <w:r>
              <w:rPr>
                <w:rStyle w:val="Hyperlink"/>
                <w:rFonts w:ascii="Dubai" w:hAnsi="Dubai" w:cs="Dubai"/>
                <w:noProof/>
                <w:rtl/>
              </w:rPr>
              <w:t>5.1  جدول الفجوات المُدمج</w:t>
            </w:r>
            <w:r>
              <w:rPr>
                <w:noProof/>
                <w:webHidden/>
              </w:rPr>
              <w:tab/>
            </w:r>
            <w:r>
              <w:fldChar w:fldCharType="begin"/>
            </w:r>
            <w:r>
              <w:instrText xml:space="preserve"> PAGEREF _Toc000000016 \h </w:instrText>
            </w:r>
            <w:r>
              <w:rPr>
                <w:noProof/>
                <w:webHidden/>
              </w:rPr>
              <w:fldChar w:fldCharType="separate"/>
            </w:r>
            <w:r>
              <w:rPr>
                <w:noProof/>
                <w:webHidden/>
                <w:rtl/>
              </w:rPr>
              <w:t>1</w:t>
            </w:r>
            <w:r>
              <w:rPr>
                <w:noProof/>
                <w:webHidden/>
              </w:rPr>
              <w:fldChar w:fldCharType="end"/>
            </w:r>
          </w:hyperlink>
        </w:p>
        <w:p>
          <w:pPr>
            <w:pStyle w:val="TOC2"/>
          </w:pPr>
          <w:hyperlink w:anchor="_Toc000000017" w:history="1">
            <w:r>
              <w:rPr>
                <w:rStyle w:val="Hyperlink"/>
                <w:rFonts w:ascii="Dubai" w:hAnsi="Dubai" w:cs="Dubai"/>
                <w:noProof/>
                <w:rtl/>
              </w:rPr>
              <w:t>5.2  الأسباب الجذرية لاستمرار المشكلات</w:t>
            </w:r>
            <w:r>
              <w:rPr>
                <w:noProof/>
                <w:webHidden/>
              </w:rPr>
              <w:tab/>
            </w:r>
            <w:r>
              <w:fldChar w:fldCharType="begin"/>
            </w:r>
            <w:r>
              <w:instrText xml:space="preserve"> PAGEREF _Toc000000017 \h </w:instrText>
            </w:r>
            <w:r>
              <w:rPr>
                <w:noProof/>
                <w:webHidden/>
              </w:rPr>
              <w:fldChar w:fldCharType="separate"/>
            </w:r>
            <w:r>
              <w:rPr>
                <w:noProof/>
                <w:webHidden/>
                <w:rtl/>
              </w:rPr>
              <w:t>1</w:t>
            </w:r>
            <w:r>
              <w:rPr>
                <w:noProof/>
                <w:webHidden/>
              </w:rPr>
              <w:fldChar w:fldCharType="end"/>
            </w:r>
          </w:hyperlink>
        </w:p>
        <w:p>
          <w:pPr>
            <w:pStyle w:val="TOC1"/>
          </w:pPr>
          <w:hyperlink w:anchor="_Toc000000018" w:history="1">
            <w:r>
              <w:rPr>
                <w:rStyle w:val="Hyperlink"/>
                <w:rFonts w:ascii="Dubai" w:hAnsi="Dubai" w:cs="Dubai"/>
                <w:noProof/>
                <w:rtl/>
              </w:rPr>
              <w:t>سادساً: التحليل الرابع — خطة التحويل الرقمي</w:t>
            </w:r>
            <w:r>
              <w:rPr>
                <w:noProof/>
                <w:webHidden/>
              </w:rPr>
              <w:tab/>
            </w:r>
            <w:r>
              <w:fldChar w:fldCharType="begin"/>
            </w:r>
            <w:r>
              <w:instrText xml:space="preserve"> PAGEREF _Toc000000018 \h </w:instrText>
            </w:r>
            <w:r>
              <w:rPr>
                <w:noProof/>
                <w:webHidden/>
              </w:rPr>
              <w:fldChar w:fldCharType="separate"/>
            </w:r>
            <w:r>
              <w:rPr>
                <w:noProof/>
                <w:webHidden/>
                <w:rtl/>
              </w:rPr>
              <w:t>1</w:t>
            </w:r>
            <w:r>
              <w:rPr>
                <w:noProof/>
                <w:webHidden/>
              </w:rPr>
              <w:fldChar w:fldCharType="end"/>
            </w:r>
          </w:hyperlink>
        </w:p>
        <w:p>
          <w:pPr>
            <w:pStyle w:val="TOC2"/>
          </w:pPr>
          <w:hyperlink w:anchor="_Toc000000019" w:history="1">
            <w:r>
              <w:rPr>
                <w:rStyle w:val="Hyperlink"/>
                <w:rFonts w:ascii="Dubai" w:hAnsi="Dubai" w:cs="Dubai"/>
                <w:noProof/>
                <w:rtl/>
              </w:rPr>
              <w:t>6.1  الأسئلة الشائعة ذات الأولوية</w:t>
            </w:r>
            <w:r>
              <w:rPr>
                <w:noProof/>
                <w:webHidden/>
              </w:rPr>
              <w:tab/>
            </w:r>
            <w:r>
              <w:fldChar w:fldCharType="begin"/>
            </w:r>
            <w:r>
              <w:instrText xml:space="preserve"> PAGEREF _Toc000000019 \h </w:instrText>
            </w:r>
            <w:r>
              <w:rPr>
                <w:noProof/>
                <w:webHidden/>
              </w:rPr>
              <w:fldChar w:fldCharType="separate"/>
            </w:r>
            <w:r>
              <w:rPr>
                <w:noProof/>
                <w:webHidden/>
                <w:rtl/>
              </w:rPr>
              <w:t>1</w:t>
            </w:r>
            <w:r>
              <w:rPr>
                <w:noProof/>
                <w:webHidden/>
              </w:rPr>
              <w:fldChar w:fldCharType="end"/>
            </w:r>
          </w:hyperlink>
        </w:p>
        <w:p>
          <w:pPr>
            <w:pStyle w:val="TOC2"/>
          </w:pPr>
          <w:hyperlink w:anchor="_Toc000000020" w:history="1">
            <w:r>
              <w:rPr>
                <w:rStyle w:val="Hyperlink"/>
                <w:rFonts w:ascii="Dubai" w:hAnsi="Dubai" w:cs="Dubai"/>
                <w:noProof/>
                <w:rtl/>
              </w:rPr>
              <w:t>6.2  مسار إلغاء 4+ حالة تواصل بالإشعار الاستباقي</w:t>
            </w:r>
            <w:r>
              <w:rPr>
                <w:noProof/>
                <w:webHidden/>
              </w:rPr>
              <w:tab/>
            </w:r>
            <w:r>
              <w:fldChar w:fldCharType="begin"/>
            </w:r>
            <w:r>
              <w:instrText xml:space="preserve"> PAGEREF _Toc000000020 \h </w:instrText>
            </w:r>
            <w:r>
              <w:rPr>
                <w:noProof/>
                <w:webHidden/>
              </w:rPr>
              <w:fldChar w:fldCharType="separate"/>
            </w:r>
            <w:r>
              <w:rPr>
                <w:noProof/>
                <w:webHidden/>
                <w:rtl/>
              </w:rPr>
              <w:t>1</w:t>
            </w:r>
            <w:r>
              <w:rPr>
                <w:noProof/>
                <w:webHidden/>
              </w:rPr>
              <w:fldChar w:fldCharType="end"/>
            </w:r>
          </w:hyperlink>
        </w:p>
        <w:p>
          <w:pPr>
            <w:pStyle w:val="TOC1"/>
          </w:pPr>
          <w:hyperlink w:anchor="_Toc000000021" w:history="1">
            <w:r>
              <w:rPr>
                <w:rStyle w:val="Hyperlink"/>
                <w:rFonts w:ascii="Dubai" w:hAnsi="Dubai" w:cs="Dubai"/>
                <w:noProof/>
                <w:rtl/>
              </w:rPr>
              <w:t>سابعاً: حالات الاستخدام المدعومة بالذكاء الاصطناعي</w:t>
            </w:r>
            <w:r>
              <w:rPr>
                <w:noProof/>
                <w:webHidden/>
              </w:rPr>
              <w:tab/>
            </w:r>
            <w:r>
              <w:fldChar w:fldCharType="begin"/>
            </w:r>
            <w:r>
              <w:instrText xml:space="preserve"> PAGEREF _Toc000000021 \h </w:instrText>
            </w:r>
            <w:r>
              <w:rPr>
                <w:noProof/>
                <w:webHidden/>
              </w:rPr>
              <w:fldChar w:fldCharType="separate"/>
            </w:r>
            <w:r>
              <w:rPr>
                <w:noProof/>
                <w:webHidden/>
                <w:rtl/>
              </w:rPr>
              <w:t>1</w:t>
            </w:r>
            <w:r>
              <w:rPr>
                <w:noProof/>
                <w:webHidden/>
              </w:rPr>
              <w:fldChar w:fldCharType="end"/>
            </w:r>
          </w:hyperlink>
        </w:p>
        <w:p>
          <w:pPr>
            <w:pStyle w:val="TOC1"/>
          </w:pPr>
          <w:hyperlink w:anchor="_Toc000000022" w:history="1">
            <w:r>
              <w:rPr>
                <w:rStyle w:val="Hyperlink"/>
                <w:rFonts w:ascii="Dubai" w:hAnsi="Dubai" w:cs="Dubai"/>
                <w:noProof/>
                <w:rtl/>
              </w:rPr>
              <w:t>ثامناً: خارطة الطريق التحسينية المقترحة</w:t>
            </w:r>
            <w:r>
              <w:rPr>
                <w:noProof/>
                <w:webHidden/>
              </w:rPr>
              <w:tab/>
            </w:r>
            <w:r>
              <w:fldChar w:fldCharType="begin"/>
            </w:r>
            <w:r>
              <w:instrText xml:space="preserve"> PAGEREF _Toc000000022 \h </w:instrText>
            </w:r>
            <w:r>
              <w:rPr>
                <w:noProof/>
                <w:webHidden/>
              </w:rPr>
              <w:fldChar w:fldCharType="separate"/>
            </w:r>
            <w:r>
              <w:rPr>
                <w:noProof/>
                <w:webHidden/>
                <w:rtl/>
              </w:rPr>
              <w:t>1</w:t>
            </w:r>
            <w:r>
              <w:rPr>
                <w:noProof/>
                <w:webHidden/>
              </w:rPr>
              <w:fldChar w:fldCharType="end"/>
            </w:r>
          </w:hyperlink>
        </w:p>
        <w:p>
          <w:pPr>
            <w:pStyle w:val="TOC1"/>
          </w:pPr>
          <w:hyperlink w:anchor="_Toc000000023" w:history="1">
            <w:r>
              <w:rPr>
                <w:rStyle w:val="Hyperlink"/>
                <w:rFonts w:ascii="Dubai" w:hAnsi="Dubai" w:cs="Dubai"/>
                <w:noProof/>
                <w:rtl/>
              </w:rPr>
              <w:t>تاسعاً: الخلاصة — من البيانات إلى القرار</w:t>
            </w:r>
            <w:r>
              <w:rPr>
                <w:noProof/>
                <w:webHidden/>
              </w:rPr>
              <w:tab/>
            </w:r>
            <w:r>
              <w:fldChar w:fldCharType="begin"/>
            </w:r>
            <w:r>
              <w:instrText xml:space="preserve"> PAGEREF _Toc000000023 \h </w:instrText>
            </w:r>
            <w:r>
              <w:rPr>
                <w:noProof/>
                <w:webHidden/>
              </w:rPr>
              <w:fldChar w:fldCharType="separate"/>
            </w:r>
            <w:r>
              <w:rPr>
                <w:noProof/>
                <w:webHidden/>
                <w:rtl/>
              </w:rPr>
              <w:t>1</w:t>
            </w:r>
            <w:r>
              <w:rPr>
                <w:noProof/>
                <w:webHidden/>
              </w:rPr>
              <w:fldChar w:fldCharType="end"/>
            </w:r>
          </w:hyperlink>
        </w:p>
        <w:p>
          <w:pPr>
            <w:pStyle w:val="TOC2"/>
          </w:pPr>
          <w:hyperlink w:anchor="_Toc000000024" w:history="1">
            <w:r>
              <w:rPr>
                <w:rStyle w:val="Hyperlink"/>
                <w:rFonts w:ascii="Dubai" w:hAnsi="Dubai" w:cs="Dubai"/>
                <w:noProof/>
                <w:rtl/>
              </w:rPr>
              <w:t>المحاور الثلاثة للتحول</w:t>
            </w:r>
            <w:r>
              <w:rPr>
                <w:noProof/>
                <w:webHidden/>
              </w:rPr>
              <w:tab/>
            </w:r>
            <w:r>
              <w:fldChar w:fldCharType="begin"/>
            </w:r>
            <w:r>
              <w:instrText xml:space="preserve"> PAGEREF _Toc000000024 \h </w:instrText>
            </w:r>
            <w:r>
              <w:rPr>
                <w:noProof/>
                <w:webHidden/>
              </w:rPr>
              <w:fldChar w:fldCharType="separate"/>
            </w:r>
            <w:r>
              <w:rPr>
                <w:noProof/>
                <w:webHidden/>
                <w:rtl/>
              </w:rPr>
              <w:t>1</w:t>
            </w:r>
            <w:r>
              <w:rPr>
                <w:noProof/>
                <w:webHidden/>
              </w:rPr>
              <w:fldChar w:fldCharType="end"/>
            </w:r>
          </w:hyperlink>
        </w:p>
        <w:p>
          <w:pPr>
            <w:pStyle w:val="TOC2"/>
          </w:pPr>
          <w:hyperlink w:anchor="_Toc000000025" w:history="1">
            <w:r>
              <w:rPr>
                <w:rStyle w:val="Hyperlink"/>
                <w:rFonts w:ascii="Dubai" w:hAnsi="Dubai" w:cs="Dubai"/>
                <w:noProof/>
                <w:rtl/>
              </w:rPr>
              <w:t>الأثر المجمّع المتوقع:</w:t>
            </w:r>
            <w:r>
              <w:rPr>
                <w:noProof/>
                <w:webHidden/>
              </w:rPr>
              <w:tab/>
            </w:r>
            <w:r>
              <w:fldChar w:fldCharType="begin"/>
            </w:r>
            <w:r>
              <w:instrText xml:space="preserve"> PAGEREF _Toc000000025 \h </w:instrText>
            </w:r>
            <w:r>
              <w:rPr>
                <w:noProof/>
                <w:webHidden/>
              </w:rPr>
              <w:fldChar w:fldCharType="separate"/>
            </w:r>
            <w:r>
              <w:rPr>
                <w:noProof/>
                <w:webHidden/>
                <w:rtl/>
              </w:rPr>
              <w:t>1</w:t>
            </w:r>
            <w:r>
              <w:rPr>
                <w:noProof/>
                <w:webHidden/>
              </w:rPr>
              <w:fldChar w:fldCharType="end"/>
            </w:r>
          </w:hyperlink>
          <w:r>
            <w:fldChar w:fldCharType="end"/>
          </w:r>
        </w:p>
      </w:sdtContent>
    </w:sdt>
    <w:p>
      <w:r>
        <w:br w:type="page"/>
      </w:r>
    </w:p>
    <w:p>
      <w:pPr>
        <w:bidi w:val="1"/>
        <w:pStyle w:val="Heading1"/>
        <w:jc w:val="left"/>
      </w:pPr>
      <w:r>
        <w:rPr>
          <w:rFonts w:ascii="Dubai" w:hAnsi="Dubai" w:eastAsia="Dubai" w:cs="Dubai"/>
          <w:b/>
          <w:color w:val="B68A35"/>
          <w:sz w:val="32"/>
          <w:szCs w:val="32"/>
          <w:rtl/>
        </w:rPr>
        <w:t>أولاً: الملخص التنفيذي — التحليلات الرئيسية</w:t>
      </w:r>
      <w:bookmarkStart w:id="2" w:name="_Toc000000002"/>
      <w:bookmarkEnd w:id="2"/>
    </w:p>
    <w:p>
      <w:pPr>
        <w:bidi w:val="1"/>
        <w:spacing w:after="120"/>
        <w:jc w:val="both"/>
      </w:pPr>
      <w:r>
        <w:rPr>
          <w:rFonts w:ascii="Dubai" w:hAnsi="Dubai" w:eastAsia="Dubai" w:cs="Dubai"/>
          <w:b w:val="0"/>
          <w:i w:val="0"/>
          <w:color w:val="000000"/>
          <w:sz w:val="24"/>
          <w:szCs w:val="24"/>
          <w:u w:val="none"/>
          <w:rtl/>
        </w:rPr>
        <w:t>يُقدّم هذا التقرير تحليلاً معمّقاً لـ 11 حالة استفسار مستخرجة من «تصدير نظام إدارة علاقات العملاء»، مدعومةً بمراجعة «دليل الخدمات والأسئلة الشائعة»، وتغطي الفترة الممتدة من فبراير حتى يوليو 2025، بهدف تحويل البيانات الخام إلى قرارات تشغيلية قابلة للتنفيذ لا مجرد أرقام معزولة. المُستجد الجوهري: إعادة التصنيف الشامل كشفت أن 100.0% من الحالات كانت مُصنَّفة بشكل خاطئ، وأن الشكاوى تمثل في حقيقتها 90.9% من إجمالي عبء العمل، مما يعني أن المنظومة كانت تستجيب لواقع مشوّه لا للواقع الفعلي.</w:t>
      </w:r>
    </w:p>
    <w:p>
      <w:pPr>
        <w:bidi w:val="1"/>
        <w:pStyle w:val="Heading2"/>
        <w:jc w:val="left"/>
      </w:pPr>
      <w:r>
        <w:rPr>
          <w:rFonts w:ascii="Dubai" w:hAnsi="Dubai" w:eastAsia="Dubai" w:cs="Dubai"/>
          <w:b/>
          <w:color w:val="B68A35"/>
          <w:sz w:val="26"/>
          <w:szCs w:val="26"/>
          <w:rtl/>
        </w:rPr>
        <w:t>النتائج الرئيسية</w:t>
      </w:r>
      <w:bookmarkStart w:id="3" w:name="_Toc000000003"/>
      <w:bookmarkEnd w:id="3"/>
    </w:p>
    <w:p>
      <w:pPr>
        <w:bidi w:val="1"/>
        <w:spacing w:after="120"/>
        <w:jc w:val="both"/>
      </w:pPr>
      <w:r>
        <w:rPr>
          <w:rFonts w:ascii="Dubai" w:hAnsi="Dubai" w:eastAsia="Dubai" w:cs="Dubai"/>
          <w:b w:val="0"/>
          <w:i w:val="0"/>
          <w:color w:val="000000"/>
          <w:sz w:val="24"/>
          <w:szCs w:val="24"/>
          <w:u w:val="none"/>
          <w:rtl/>
        </w:rPr>
        <w:t>الرسالة الجوهرية: إن تزامن خطأ التصنيف بنسبة 100.0% مع 5 نقاط احتكاك موثّقة وغياب تام للإغلاق في الوقت المحدد يكشف عن خلل منهجي في بنية الاستجابة، لا مجرد ثغرات معزولة قابلة للتجاوز. معالجة هذه الفجوات تفتح الطريق أمام تحويل 10 شكاوى متكررة إلى فرص استباقية، عبر تفعيل الإشعارات الآلية في 3 محاور رئيسية ورفع تغطية الدليل من متوسطها الحالي البالغ 20.0%. إن تبنّي استراتيجية مبنية على البيانات المُصحَّحة لا المُفترضة هو الرافعة الحقيقية التي ستحوّل خدمة العملاء من نموذج رد الفعل إلى نموذج الاستشراف والوقاية.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مستوى الأهمية</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الاكتشاف</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كانت 11 من 11 حالة مُصنَّفة أصلاً بشكل غير صحيح. تمثل هذه الفجوة أساس التحديات التشغيلية المُكتشفة في هذا التحليل.</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تصنيف غير دقيق بنسبة 100.0%</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10 حالة من 11 كانت شكاوى بعد إعادة التصنيف. . هذا التركيز يعكس محور التحسين الأساسي للعمليات.</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الشكاوى تهيمن بـ 90.9% على عبء العمل</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تؤثر هذه النقطة على 3 حالة (27.3% من الإجمالي). السبب الجذري: خلل تقني في المنصة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نقطة احتكاك واحدة: عدم ظهور البيانات أو تحديثها في النظام بعد إتمام الإجراء (3 حالة، 27.3%)</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تشترك نقطتا احتكاك في سبب جذري مشترك: تسجيل مخالفة مرورية على رقم مركبة أو شخص لا علاقة له بالمخالفة دون إرفاق صورة واضحة أو آلية تصحيح ذاتي, غياب قناة رسمية لإبلاغ الجهات المعنية عن إشكاليات البنية التحتية كوضع الحواجز في المناطق السكنية. إجمالي الحالات المتأثرة: 3 حالة. تحسين هذه المجموعة سيسهم بشكل كبير في تقليل الاحتكاكات.</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نقطتا احتكاك — غياب معلومات من الدليل (3 حالة)</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4</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إيجابية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تم إغلاق 0 من 11 حالة في الوقت المحدد (معدل 0.0%). هذا يثبت القدرة التشغيلية، لكنه لا يعالج الفجوات الهيكلية في الدقة والفهم.</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0.0% إغلاق في الوقت المحدد</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5</w:t>
            </w:r>
          </w:p>
        </w:tc>
      </w:tr>
    </w:tbl>
    <w:p/>
    <w:p>
      <w:pPr>
        <w:bidi w:val="1"/>
        <w:pStyle w:val="Heading1"/>
        <w:jc w:val="left"/>
      </w:pPr>
      <w:r>
        <w:rPr>
          <w:rFonts w:ascii="Dubai" w:hAnsi="Dubai" w:eastAsia="Dubai" w:cs="Dubai"/>
          <w:b/>
          <w:color w:val="B68A35"/>
          <w:sz w:val="32"/>
          <w:szCs w:val="32"/>
          <w:rtl/>
        </w:rPr>
        <w:t>ثانياً: المنهجية وطبيعة المصادر</w:t>
      </w:r>
      <w:bookmarkStart w:id="4" w:name="_Toc000000004"/>
      <w:bookmarkEnd w:id="4"/>
    </w:p>
    <w:p>
      <w:pPr>
        <w:bidi w:val="1"/>
        <w:pStyle w:val="Heading2"/>
        <w:jc w:val="left"/>
      </w:pPr>
      <w:r>
        <w:rPr>
          <w:rFonts w:ascii="Dubai" w:hAnsi="Dubai" w:eastAsia="Dubai" w:cs="Dubai"/>
          <w:b/>
          <w:color w:val="B68A35"/>
          <w:sz w:val="26"/>
          <w:szCs w:val="26"/>
          <w:rtl/>
        </w:rPr>
        <w:t>2.1  المصادر المُحلَّلة</w:t>
      </w:r>
      <w:bookmarkStart w:id="5" w:name="_Toc000000005"/>
      <w:bookmarkEnd w:id="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الفترة</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الحجم</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الطبيعة</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المصدر</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فبراير - يوليو 2025</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11 حالة مغلقة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بيانات CRM — نصوص غير مهيكلة (تفاصيل الحالة، الحلول، أسماء الخدمات، وصف الحالة)</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تحليل الاستفسارات</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2025</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160 صفحة، 4 أسئلة مصدقة</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يغطي خدمات المرور والترخيص, الخدمات الشرطية, خدمات المؤسسة العقابية والإصلاحية, إدارة العمليات, الخدمات الاستباقية, and 2 more، مع التحقق من الأسئلة الشائعة وتحليل الفجوات</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دليل خدمات العملاء</w:t>
            </w:r>
          </w:p>
        </w:tc>
      </w:tr>
    </w:tbl>
    <w:p/>
    <w:p>
      <w:pPr>
        <w:bidi w:val="1"/>
        <w:pStyle w:val="Heading2"/>
        <w:jc w:val="left"/>
      </w:pPr>
      <w:r>
        <w:rPr>
          <w:rFonts w:ascii="Dubai" w:hAnsi="Dubai" w:eastAsia="Dubai" w:cs="Dubai"/>
          <w:b/>
          <w:color w:val="B68A35"/>
          <w:sz w:val="26"/>
          <w:szCs w:val="26"/>
          <w:rtl/>
        </w:rPr>
        <w:t>2.2  منهجية التصنيف</w:t>
      </w:r>
      <w:bookmarkStart w:id="6" w:name="_Toc000000006"/>
      <w:bookmarkEnd w:id="6"/>
    </w:p>
    <w:p>
      <w:pPr>
        <w:bidi w:val="1"/>
        <w:spacing w:after="120"/>
        <w:jc w:val="both"/>
      </w:pPr>
      <w:r>
        <w:rPr>
          <w:rFonts w:ascii="Dubai" w:hAnsi="Dubai" w:eastAsia="Dubai" w:cs="Dubai"/>
          <w:b w:val="0"/>
          <w:i w:val="0"/>
          <w:color w:val="000000"/>
          <w:sz w:val="24"/>
          <w:szCs w:val="24"/>
          <w:u w:val="none"/>
          <w:rtl/>
        </w:rPr>
        <w:t>يعتمد التحليل على شجرة قرار من أربعة مستويات، حيث طبيعة المطلوب وليس الصياغة هي المعيار الفاصل. يُطرح على كل حالة اختباران متتاليان: (1) الاختبار الأول: هل يُعبّر النص عن استياء، أو إبلاغ عن إخفاق، أو رغبة في تقديم بلاغ رسمي أو اعتراض؟ (2) الاختبار الثاني: هل يطلب النص تنفيذ إجراء محدد كتقديم خدمة أو متابعة طلب أو تعديل بيانات، وليس مجرد الحصول على معلومة؟</w:t>
      </w:r>
    </w:p>
    <w:p>
      <w:pPr>
        <w:bidi w:val="1"/>
        <w:spacing w:after="120"/>
        <w:jc w:val="both"/>
      </w:pPr>
      <w:r>
        <w:rPr>
          <w:rFonts w:ascii="Dubai" w:hAnsi="Dubai" w:eastAsia="Dubai" w:cs="Dubai"/>
          <w:b w:val="0"/>
          <w:i w:val="0"/>
          <w:color w:val="000000"/>
          <w:sz w:val="24"/>
          <w:szCs w:val="24"/>
          <w:u w:val="none"/>
          <w:rtl/>
        </w:rPr>
        <w:t>قواعد التصنيف:</w:t>
      </w:r>
    </w:p>
    <w:p>
      <w:pPr>
        <w:bidi w:val="1"/>
        <w:spacing w:after="120"/>
        <w:jc w:val="both"/>
      </w:pPr>
      <w:r>
        <w:rPr>
          <w:rFonts w:ascii="Dubai" w:hAnsi="Dubai" w:eastAsia="Dubai" w:cs="Dubai"/>
          <w:b w:val="0"/>
          <w:i w:val="0"/>
          <w:color w:val="000000"/>
          <w:sz w:val="24"/>
          <w:szCs w:val="24"/>
          <w:u w:val="none"/>
          <w:rtl/>
        </w:rPr>
        <w:t>→ إن كان الجواب نعم على الأول: شكوى (حتى لو تضمّن النص طلباً لاتخاذ إجراء)؛</w:t>
      </w:r>
    </w:p>
    <w:p>
      <w:pPr>
        <w:bidi w:val="1"/>
        <w:spacing w:after="120"/>
        <w:jc w:val="both"/>
      </w:pPr>
      <w:r>
        <w:rPr>
          <w:rFonts w:ascii="Dubai" w:hAnsi="Dubai" w:eastAsia="Dubai" w:cs="Dubai"/>
          <w:b w:val="0"/>
          <w:i w:val="0"/>
          <w:color w:val="000000"/>
          <w:sz w:val="24"/>
          <w:szCs w:val="24"/>
          <w:u w:val="none"/>
          <w:rtl/>
        </w:rPr>
        <w:t>→ إن كان الجواب نعم على الثاني فقط: طلب (دون أن يكون الغرض إبلاغاً عن مشكلة)؛</w:t>
      </w:r>
    </w:p>
    <w:p>
      <w:pPr>
        <w:bidi w:val="1"/>
        <w:spacing w:after="120"/>
        <w:jc w:val="both"/>
      </w:pPr>
      <w:r>
        <w:rPr>
          <w:rFonts w:ascii="Dubai" w:hAnsi="Dubai" w:eastAsia="Dubai" w:cs="Dubai"/>
          <w:b w:val="0"/>
          <w:i w:val="0"/>
          <w:color w:val="000000"/>
          <w:sz w:val="24"/>
          <w:szCs w:val="24"/>
          <w:u w:val="none"/>
          <w:rtl/>
        </w:rPr>
        <w:t>→ إن كان الغرض سؤالاً أو استعلاماً عن معلومة: استفسار؛</w:t>
      </w:r>
    </w:p>
    <w:p>
      <w:pPr>
        <w:bidi w:val="1"/>
        <w:spacing w:after="120"/>
        <w:jc w:val="both"/>
      </w:pPr>
      <w:r>
        <w:rPr>
          <w:rFonts w:ascii="Dubai" w:hAnsi="Dubai" w:eastAsia="Dubai" w:cs="Dubai"/>
          <w:b w:val="0"/>
          <w:i w:val="0"/>
          <w:color w:val="000000"/>
          <w:sz w:val="24"/>
          <w:szCs w:val="24"/>
          <w:u w:val="none"/>
          <w:rtl/>
        </w:rPr>
        <w:t>→ إن كان التعبير عن رضا وثناء: شكر وثناء.</w:t>
      </w:r>
    </w:p>
    <w:p>
      <w:pPr>
        <w:bidi w:val="1"/>
        <w:pStyle w:val="Heading2"/>
        <w:jc w:val="left"/>
      </w:pPr>
      <w:r>
        <w:rPr>
          <w:rFonts w:ascii="Dubai" w:hAnsi="Dubai" w:eastAsia="Dubai" w:cs="Dubai"/>
          <w:b/>
          <w:color w:val="B68A35"/>
          <w:sz w:val="26"/>
          <w:szCs w:val="26"/>
          <w:rtl/>
        </w:rPr>
        <w:t>2.3  الحقول المُحلَّلة</w:t>
      </w:r>
      <w:bookmarkStart w:id="7" w:name="_Toc000000007"/>
      <w:bookmarkEnd w:id="7"/>
    </w:p>
    <w:p>
      <w:pPr>
        <w:bidi w:val="1"/>
        <w:spacing w:after="120"/>
        <w:jc w:val="both"/>
      </w:pPr>
      <w:r>
        <w:rPr>
          <w:rFonts w:ascii="Dubai" w:hAnsi="Dubai" w:eastAsia="Dubai" w:cs="Dubai"/>
          <w:b w:val="0"/>
          <w:i w:val="0"/>
          <w:color w:val="000000"/>
          <w:sz w:val="24"/>
          <w:szCs w:val="24"/>
          <w:u w:val="none"/>
          <w:rtl/>
        </w:rPr>
        <w:t>الحقول المنظمة المستخدمة في التحليل: رقم الطلب، الخدمة الرئيسية، نوع المكالمة الأصلي، حالة الطلب، قناة التواصل، الجنسية، والإدارة المختصة. الحقول غير المنظمة — محور هذا التحليل: تفاصيل الطلب ورد المعالجة. هذان الحقلان يكشفان الطبيعة الحقيقية لكل حالة بعيداً عن التصنيف الشكلي في النظام.</w:t>
      </w:r>
    </w:p>
    <w:p>
      <w:pPr>
        <w:bidi w:val="1"/>
        <w:pStyle w:val="Heading1"/>
        <w:jc w:val="left"/>
      </w:pPr>
      <w:r>
        <w:rPr>
          <w:rFonts w:ascii="Dubai" w:hAnsi="Dubai" w:eastAsia="Dubai" w:cs="Dubai"/>
          <w:b/>
          <w:color w:val="B68A35"/>
          <w:sz w:val="32"/>
          <w:szCs w:val="32"/>
          <w:rtl/>
        </w:rPr>
        <w:t>ثالثاً: التحليل الأول — خريطة تصنيف الطلبات</w:t>
      </w:r>
      <w:bookmarkStart w:id="8" w:name="_Toc000000008"/>
      <w:bookmarkEnd w:id="8"/>
    </w:p>
    <w:p>
      <w:pPr>
        <w:bidi w:val="1"/>
        <w:pStyle w:val="Heading2"/>
        <w:jc w:val="left"/>
      </w:pPr>
      <w:r>
        <w:rPr>
          <w:rFonts w:ascii="Dubai" w:hAnsi="Dubai" w:eastAsia="Dubai" w:cs="Dubai"/>
          <w:b/>
          <w:color w:val="B68A35"/>
          <w:sz w:val="26"/>
          <w:szCs w:val="26"/>
          <w:rtl/>
        </w:rPr>
        <w:t>3.1  التوزيع الفعلي لأنواع التواصل</w:t>
      </w:r>
      <w:bookmarkStart w:id="9" w:name="_Toc000000009"/>
      <w:bookmarkEnd w:id="9"/>
    </w:p>
    <w:p>
      <w:pPr>
        <w:bidi w:val="1"/>
        <w:spacing w:after="120"/>
        <w:jc w:val="both"/>
      </w:pPr>
      <w:r>
        <w:rPr>
          <w:rFonts w:ascii="Dubai" w:hAnsi="Dubai" w:eastAsia="Dubai" w:cs="Dubai"/>
          <w:b w:val="0"/>
          <w:i w:val="0"/>
          <w:color w:val="000000"/>
          <w:sz w:val="24"/>
          <w:szCs w:val="24"/>
          <w:u w:val="none"/>
          <w:rtl/>
        </w:rPr>
        <w:t>تحليل 11 حالة مغلقة في فبراير - يوليو 2025 يكشف أن التصنيف الدقيق للمحتوى الفعلي لكل تواصل يُنتج صورةً مغايرة جذرياً لما سجَّله نظام إدارة علاقات المتعاملين في المرحلة الأولى. التحوّل الجوهري: الفئة المهيمنة الحقيقية هي «شكوى» بواقع 10 حالات تمثّل 90.9% من إجمالي التواصل، في مقابل تسجيل 10 حالات أصلاً تحت مسمّى «استفسار» قبل إعادة التصنيف.</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قابلية التحويل الرقمي</w:t>
            </w:r>
          </w:p>
        </w:tc>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تغيُّر التصنيف</w:t>
            </w:r>
          </w:p>
        </w:tc>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النسبة</w:t>
            </w:r>
          </w:p>
        </w:tc>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العدد</w:t>
            </w:r>
          </w:p>
        </w:tc>
        <w:tc>
          <w:tcPr>
            <w:tcW w:type="dxa" w:w="1872"/>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نوع التواصل</w:t>
            </w:r>
          </w:p>
        </w:tc>
      </w:tr>
      <w:tr>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مسار رقمي مختص — بوابة شكاوى / تتبع بلاغ في التطبيق</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+10 (كانت صفراً في الملف الأصلي)</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90.9%</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10</w:t>
            </w:r>
          </w:p>
        </w:tc>
        <w:tc>
          <w:tcPr>
            <w:tcW w:type="dxa" w:w="1872"/>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شكوى</w:t>
            </w:r>
          </w:p>
        </w:tc>
      </w:tr>
      <w:tr>
        <w:tc>
          <w:tcPr>
            <w:tcW w:type="dxa" w:w="1872"/>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يتطلب موظفاً بصلاحية النظام</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بلا تغيير</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0.0%</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0</w:t>
            </w:r>
          </w:p>
        </w:tc>
        <w:tc>
          <w:tcPr>
            <w:tcW w:type="dxa" w:w="1872"/>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طلب</w:t>
            </w:r>
          </w:p>
        </w:tc>
      </w:tr>
      <w:tr>
        <w:tc>
          <w:tcPr>
            <w:tcW w:type="dxa" w:w="1872"/>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تحويل كامل — روبوت محادثة / أسئلة شائعة / IVR / الموقع الإلكتروني</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−10 عن الأصلي</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0.0%</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0</w:t>
            </w:r>
          </w:p>
        </w:tc>
        <w:tc>
          <w:tcPr>
            <w:tcW w:type="dxa" w:w="1872"/>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استفسار</w:t>
            </w:r>
          </w:p>
        </w:tc>
      </w:tr>
      <w:tr>
        <w:tc>
          <w:tcPr>
            <w:tcW w:type="dxa" w:w="1872"/>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توثيق تلقائي — لا يتطلب إجراءً</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 (كانت صفراً في الملف الأصلي)</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9.1%</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w:t>
            </w:r>
          </w:p>
        </w:tc>
        <w:tc>
          <w:tcPr>
            <w:tcW w:type="dxa" w:w="1872"/>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شكر وثناء</w:t>
            </w:r>
          </w:p>
        </w:tc>
      </w:tr>
    </w:tbl>
    <w:p/>
    <w:p>
      <w:pPr>
        <w:jc w:val="center"/>
      </w:pPr>
      <w:r>
        <w:drawing>
          <wp:inline distT="0" distB="0" distL="0" distR="0">
            <wp:extent cx="5040000" cy="3240000"/>
            <wp:effectExtent l="0" t="0" r="0" b="0"/>
            <wp:docPr id="102" name="Chart 1" descr="Chart 1"/>
            <wp:cNvGraphicFramePr>
              <a:graphicFrameLocks noChangeAspect="1"/>
            </wp:cNvGraphicFramePr>
            <a:graphic>
              <a:graphicData uri="http://schemas.openxmlformats.org/drawingml/2006/chart">
                <c:chart r:id="rId12"/>
              </a:graphicData>
            </a:graphic>
          </wp:inline>
        </w:drawing>
      </w:r>
    </w:p>
    <w:p/>
    <w:p>
      <w:pPr>
        <w:bidi w:val="1"/>
        <w:pStyle w:val="Heading2"/>
        <w:jc w:val="left"/>
      </w:pPr>
      <w:r>
        <w:rPr>
          <w:rFonts w:ascii="Dubai" w:hAnsi="Dubai" w:eastAsia="Dubai" w:cs="Dubai"/>
          <w:b/>
          <w:color w:val="B68A35"/>
          <w:sz w:val="26"/>
          <w:szCs w:val="26"/>
          <w:rtl/>
        </w:rPr>
        <w:t>3.2  دقة التصنيف — 100.0% من الحالات تم إعادة تصنيفها</w:t>
      </w:r>
      <w:bookmarkStart w:id="10" w:name="_Toc000000010"/>
      <w:bookmarkEnd w:id="10"/>
    </w:p>
    <w:p>
      <w:pPr>
        <w:bidi w:val="1"/>
        <w:spacing w:after="120"/>
        <w:jc w:val="both"/>
      </w:pPr>
      <w:r>
        <w:rPr>
          <w:rFonts w:ascii="Dubai" w:hAnsi="Dubai" w:eastAsia="Dubai" w:cs="Dubai"/>
          <w:b w:val="0"/>
          <w:i w:val="0"/>
          <w:color w:val="000000"/>
          <w:sz w:val="24"/>
          <w:szCs w:val="24"/>
          <w:u w:val="none"/>
          <w:rtl/>
        </w:rPr>
        <w:t>الاكتشاف الحرج: 10 من أصل 11 حالة كانت مصنَّفةً في نظام CRM تحت مسمّى «استفسار»، في حين يُثبت تحليل النص الكامل لكل حالة أنها تنطوي على مضمون شكوى أو ثناء صريح؛ وقد بلغ إجمالي الحالات التي أُعيد تصنيفها 11 حالة بنسبة إعادة تصنيف 100.0%. لا يعكس هذا الفارق خطأً من الموظف، إذ إن تسمية قناة الاستقبال في النظام تعكس طبيعة القناة أو النية الأولى للتواصل لا المضمون الحقيقي للمطلب. القائمة الكاملة لـ 11 حالة مع الأدلة متاحة في الملحق الرقمي (ملف Excel المرفق).</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الدليل من تفاصيل الطلب</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التصنيف الصحيح</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مسجَّلة كـ</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رقم الطلب</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"Regarding traffic fines recent visit to Fujairah, i request you to please check again about the traffic fines which i have received today.. while driving to Fujairah i have make sure the road speed limit and drive safe to avoid fines.. i request you to check again ticket no 6250046432 and 6250046430 i request you to please remove the fines if it is incorrect"</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 — اعتراض على مخالفة مرورية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217099</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"يرجى الاستعلام عن المركبات العسكرية التي يتم ادراجها على الرمز المروري الخاص بي للعلم بانني لم استلم اي مركبة عسكرية بالأرقام المسجلة على الرمز المروري الخاص بي لتفادي المخالفات والإجراءات القانونية يرجى التأكد والمتابعة  من الأشخاص المستلمين للمركبات العسكرية وافيدكم بأرقام المركبات 18499 شرطة + 19790 شرطة وصورة من المسج"</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 — شكوى عن عدم استلام الخدمة</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225488</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xml:space="preserve">"Hi sir </w:t>
              <w:br/>
              <w:t xml:space="preserve">I apply for pcc 2 time on moi app </w:t>
              <w:br/>
              <w:t xml:space="preserve">Payment has been deducted from my account </w:t>
              <w:br/>
              <w:t xml:space="preserve">But on app they show cancel payment </w:t>
              <w:br/>
              <w:t xml:space="preserve">Im in ind i need pcc urgent wht i can do now plz help mee plzz u can contact me on +919815328600 or u can mail me simrajeet009@gmail.com </w:t>
              <w:br/>
              <w:t>Plz urgently help me"</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 — شكوى عن عدم استلام الخدمة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243341</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xml:space="preserve">"The traffic fine under my name is wrong and the photo which mentioned with fine is not my bike and I never  been in fujaira . Kindly remove the fine from my name. </w:t>
              <w:br/>
              <w:t>Thankyou"</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شكوى — شكوى عن مخالفة مشكوك فيها</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216813</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"تواصلن المتعامله هاله محمد سليمان عثمان لتقديم شكر وثناء لمركز شرطة تحريات المطلوبين بالفجيرة حيث تقدمت بمستند مديونيه وتم رفع الطلب للمحكمة وشرطة التحريات بالفجيرة وتم عمل ضبط واحضار للشخص المطلوب وتريد تقديم كافه الشكر والتقدير للأخلاق والتعاون والترحيب والمعامله الطيبة، وتقديم شكر خاص للأخ عبد الله واستاذه أمل والنقيب يوسف بمركز الشرطة هناك حسن الضيافه والكرم والاخلاق.</w:t>
              <w:br/>
              <w:br/>
              <w:t>وشددت المتعامله على ضروره إرسال الشكر والثناء للعاملين هناك وتوصيل صوتها معربه عن فرحتها الشديده وسعادتها للخدمه الممتازه وجبر الخواطر والوصل إلي الشخص المطلوب."</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شكر وثناء — شكر وتقدير عام</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شكر و ثناء</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1198629</w:t>
            </w:r>
          </w:p>
        </w:tc>
      </w:tr>
    </w:tbl>
    <w:p/>
    <w:p>
      <w:pPr>
        <w:bidi w:val="1"/>
        <w:pStyle w:val="Heading2"/>
        <w:jc w:val="left"/>
      </w:pPr>
      <w:r>
        <w:rPr>
          <w:rFonts w:ascii="Dubai" w:hAnsi="Dubai" w:eastAsia="Dubai" w:cs="Dubai"/>
          <w:b/>
          <w:color w:val="B68A35"/>
          <w:sz w:val="26"/>
          <w:szCs w:val="26"/>
          <w:rtl/>
        </w:rPr>
        <w:t>3.3  تفصيل الشكاوى (10 حالة — 90.9%)</w:t>
      </w:r>
      <w:bookmarkStart w:id="11" w:name="_Toc000000011"/>
      <w:bookmarkEnd w:id="11"/>
    </w:p>
    <w:p>
      <w:pPr>
        <w:bidi w:val="1"/>
        <w:spacing w:after="120"/>
        <w:jc w:val="both"/>
      </w:pPr>
      <w:r>
        <w:rPr>
          <w:rFonts w:ascii="Dubai" w:hAnsi="Dubai" w:eastAsia="Dubai" w:cs="Dubai"/>
          <w:b w:val="0"/>
          <w:i w:val="0"/>
          <w:color w:val="000000"/>
          <w:sz w:val="24"/>
          <w:szCs w:val="24"/>
          <w:u w:val="none"/>
          <w:rtl/>
        </w:rPr>
        <w:t>تُمثّل الشكاوى الفئة المهيمنة الخفية التي كشف عنها إعادة التصنيف الدقيق، وتتمركز بصورة لافتة في منظومة المرور والترخيص، سواء أكانت مخالفات مرورية مطعوناً فيها أم أعطالاً تقنية في منصات الدفع والتسجيل:</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النسبة من الشكاوى</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العدد</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الفئة الفرعية</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متعاملون واجهوا خصماً مالياً من حساباتهم عبر تطبيق وزارة الداخلية دون إتمام الخدمة أو ظهور رسالة إلغاء بدلاً من التأكيد، مما دفعهم إلى الإبلاغ عن العطل وطلب استرداد المبلغ أو إعادة تفعيل الطلب.</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30.0%</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3</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شكوى على خطأ تقني أو في النظام</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متعاملون يعترضون على مخالفات مرورية تلقّوها رغم التزامهم بالسرعة المقررة، ويطلبون مراجعة أرقام المخالفات وإلغاءها إن ثبت عدم صحتها.</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20.0%</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اعتراض على مخالفة مرورية</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متعاملون أبلغوا عن تسجيل مركبات لم يستلموها فعلياً على رموزهم المرورية، أو عن عدم استلام وثيقة طلبوها رغم إتمام الإجراءات والدفع، مع مطالبتهم بتصحيح السجلات الرسمية.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20.0%</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شكوى عن عدم استلام الخدمة</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متعاملون تلقّوا مخالفات مرورية تحمل صوراً لمركبات لا تعود إليهم أو في أوقات لم يكونوا فيها بإمارة الفجيرة، ويطالبون بحذف المخالفة من سجلاتهم.</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20.0%</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شكوى عن مخالفة مشكوك فيها</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متعامل أبدى تذمّراً من موقف أو إجراء لا يندرج تحت فئة محددة، وتضمّن طلب التدخل لمعالجة وضع يرى فيه إخلالاً بمستوى الخدمة المقدَّمة.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10.0%</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شكوى عامة</w:t>
            </w:r>
          </w:p>
        </w:tc>
      </w:tr>
    </w:tbl>
    <w:p/>
    <w:p>
      <w:pPr>
        <w:bidi w:val="1"/>
        <w:pStyle w:val="Heading2"/>
        <w:jc w:val="left"/>
      </w:pPr>
      <w:r>
        <w:rPr>
          <w:rFonts w:ascii="Dubai" w:hAnsi="Dubai" w:eastAsia="Dubai" w:cs="Dubai"/>
          <w:b/>
          <w:color w:val="B68A35"/>
          <w:sz w:val="26"/>
          <w:szCs w:val="26"/>
          <w:rtl/>
        </w:rPr>
        <w:t>3.4  تفصيل الطلبات والاستفسارات</w:t>
      </w:r>
      <w:bookmarkStart w:id="12" w:name="_Toc000000012"/>
      <w:bookmarkEnd w:id="12"/>
    </w:p>
    <w:p>
      <w:pPr>
        <w:bidi w:val="1"/>
        <w:spacing w:after="120"/>
        <w:jc w:val="both"/>
      </w:pPr>
      <w:r>
        <w:rPr>
          <w:rFonts w:ascii="Dubai" w:hAnsi="Dubai" w:eastAsia="Dubai" w:cs="Dubai"/>
          <w:b w:val="0"/>
          <w:i w:val="0"/>
          <w:color w:val="000000"/>
          <w:sz w:val="24"/>
          <w:szCs w:val="24"/>
          <w:u w:val="none"/>
          <w:rtl/>
        </w:rPr>
        <w:t>لم تُسجَّل أي طلبات خدمة مباشرة في هذه الفترة — اقتصر العبء على الشكاوى والاستفسارات.</w:t>
      </w:r>
    </w:p>
    <w:p>
      <w:pPr>
        <w:bidi w:val="1"/>
        <w:pStyle w:val="Heading2"/>
        <w:jc w:val="left"/>
      </w:pPr>
      <w:r>
        <w:rPr>
          <w:rFonts w:ascii="Dubai" w:hAnsi="Dubai" w:eastAsia="Dubai" w:cs="Dubai"/>
          <w:b/>
          <w:color w:val="B68A35"/>
          <w:sz w:val="26"/>
          <w:szCs w:val="26"/>
          <w:rtl/>
        </w:rPr>
        <w:t>3.5  الاستفسارات المتكررة</w:t>
      </w:r>
      <w:bookmarkStart w:id="13" w:name="_Toc000000013"/>
      <w:bookmarkEnd w:id="13"/>
    </w:p>
    <w:p>
      <w:pPr>
        <w:bidi w:val="1"/>
        <w:spacing w:after="120"/>
        <w:jc w:val="both"/>
      </w:pPr>
      <w:r>
        <w:rPr>
          <w:rFonts w:ascii="Dubai" w:hAnsi="Dubai" w:eastAsia="Dubai" w:cs="Dubai"/>
          <w:b w:val="0"/>
          <w:i w:val="0"/>
          <w:color w:val="000000"/>
          <w:sz w:val="24"/>
          <w:szCs w:val="24"/>
          <w:u w:val="none"/>
          <w:rtl/>
        </w:rPr>
        <w:t>لم تُسجَّل استفسارات متكررة واضحة في هذه الفترة — كان التوزيع موزعاً على عدد من الحالات الفردية.</w:t>
      </w:r>
    </w:p>
    <w:p>
      <w:pPr>
        <w:bidi w:val="1"/>
        <w:pStyle w:val="Heading1"/>
        <w:jc w:val="left"/>
      </w:pPr>
      <w:r>
        <w:rPr>
          <w:rFonts w:ascii="Dubai" w:hAnsi="Dubai" w:eastAsia="Dubai" w:cs="Dubai"/>
          <w:b/>
          <w:color w:val="B68A35"/>
          <w:sz w:val="32"/>
          <w:szCs w:val="32"/>
          <w:rtl/>
        </w:rPr>
        <w:t>رابعاً: التحليل الثاني — التحديات في رحلة المتعامل</w:t>
      </w:r>
      <w:bookmarkStart w:id="14" w:name="_Toc000000014"/>
      <w:bookmarkEnd w:id="14"/>
    </w:p>
    <w:p>
      <w:pPr>
        <w:bidi w:val="1"/>
        <w:spacing w:after="120"/>
        <w:jc w:val="both"/>
      </w:pPr>
      <w:r>
        <w:rPr>
          <w:rFonts w:ascii="Dubai" w:hAnsi="Dubai" w:eastAsia="Dubai" w:cs="Dubai"/>
          <w:b w:val="0"/>
          <w:i w:val="0"/>
          <w:color w:val="000000"/>
          <w:sz w:val="24"/>
          <w:szCs w:val="24"/>
          <w:u w:val="none"/>
          <w:rtl/>
        </w:rPr>
        <w:t>يكشف التحليل المعمّق للبيانات النصية غير المهيكلة عن 5 نقاط احتكاك رئيسية في رحلة المتعامل، كل منها ينتج عن سبب جذري محدد قابل للمعالجة: النقطة الأكثر حدة هي عدم ظهور البيانات أو تحديثها في النظام بعد إتمام الإجراء التي تؤثر على 3 حالة (27.3% من الإجمالي). وتبرز كذلك فرصة تحسين سريع التأثير تتمثل في إرسال إشعار فوري بصورة المخالفة المرورية عبر SMS أو البريد الإلكتروني، وهو إجراء يُعالج 2 حالة بما يعادل 18.2% من إجمالي الحالات ويُمكّن المتعامل من التحقق الفوري دون الحاجة إلى التواصل مع الدعم. وفيما يلي تفصيل نقاط الاحتكاك المُحددة وأسبابها الجذرية والإجراءات التحسينية المقترحة لكل منها:</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الإجراء التحسيني</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السبب الجذري</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الحالات</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نقطة الاحتكاك</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إضافة قسم أسئلة شائعة لتأخر مزامنة البيانات، وتفعيل إشعارات تلقائية بالطابع الزمني عند تسجيل البيانات، وتوفير أداة استعلام ذاتية عن حالة المعاملة.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خلل تقني في المنصة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3</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عدم ظهور البيانات أو تحديثها في النظام بعد إتمام الإجراء</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إنشاء قسم «المخالفة الخاطئة» مع نموذج إلكتروني للتصحيح الذاتي، وإتاحة صور المخالفة رقمياً، وإرسال إشعار SMS يتضمن رابط الصورة وخيار الاعتراض السريع.</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معلومات مفقودة من الدليل</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تسجيل مخالفة مرورية على رقم مركبة أو شخص لا علاقة له بالمخالفة دون إرفاق صورة واضحة أو آلية تصحيح ذاتي</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إضافة زر «الاعتراض على المخالفة» بارز في التطبيق مع خطوات مرقمة وجداول زمنية واضحة، وتوسيع خدمة الاعتراض لتشمل القنوات الرقمية دون الحاجة للحضور الشخصي.</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معلومات موجودة لكنها صعبة الوصول</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غياب قناة واضحة وسهلة للاعتراض على المخالفات المرورية دون الحاجة للتواصل مع خدمة العملاء</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تطبيق إشعارات تلقائية إلزامية عبر SMS أو البريد الإلكتروني لجميع عمليات الخصم والإلغاء وتغيير البيانات، مع إضافة سجل معاملات وتحديد اتفاقية مستوى خدمة واضحة للاسترداد.</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غياب الإشعار الاستباقي</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خصم المبالغ وإلغاء الطلب تلقائياً أو تسجيل بيانات خاطئة دون إشعار المتعامل</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إضافة خدمة «الإبلاغ عن مشكلة في البنية التحتية» في الدليل والتطبيق مع ربطها ببوابة بلدية الفجيرة وتوفير إحالة تبادلية فورية إلى الجهة المختصة.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معلومات مفقودة من الدليل</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غياب قناة رسمية لإبلاغ الجهات المعنية عن إشكاليات البنية التحتية كوضع الحواجز في المناطق السكنية</w:t>
            </w:r>
          </w:p>
        </w:tc>
      </w:tr>
    </w:tbl>
    <w:p/>
    <w:p>
      <w:pPr>
        <w:bidi w:val="1"/>
        <w:pStyle w:val="Heading1"/>
        <w:jc w:val="left"/>
      </w:pPr>
      <w:r>
        <w:rPr>
          <w:rFonts w:ascii="Dubai" w:hAnsi="Dubai" w:eastAsia="Dubai" w:cs="Dubai"/>
          <w:b/>
          <w:color w:val="B68A35"/>
          <w:sz w:val="32"/>
          <w:szCs w:val="32"/>
          <w:rtl/>
        </w:rPr>
        <w:t>خامساً: التحليل الثالث — تحليل الفجوات الرقمية</w:t>
      </w:r>
      <w:bookmarkStart w:id="15" w:name="_Toc000000015"/>
      <w:bookmarkEnd w:id="15"/>
    </w:p>
    <w:p>
      <w:pPr>
        <w:bidi w:val="1"/>
        <w:spacing w:after="120"/>
        <w:jc w:val="both"/>
      </w:pPr>
      <w:r>
        <w:rPr>
          <w:rFonts w:ascii="Dubai" w:hAnsi="Dubai" w:eastAsia="Dubai" w:cs="Dubai"/>
          <w:b w:val="0"/>
          <w:i w:val="0"/>
          <w:color w:val="000000"/>
          <w:sz w:val="24"/>
          <w:szCs w:val="24"/>
          <w:u w:val="none"/>
          <w:rtl/>
        </w:rPr>
        <w:t>لماذا تستمر المشكلات رغم توفر التطبيق والموقع الإلكتروني؟ على الرغم من أن 81.8% من الحالات قُدِّمت عبر القنوات الرقمية (التطبيق والموقع الإلكتروني)، وأن 50.0% من حالات الاحتكاك نشأت في سياق رقمي مباشر، فإن المشكلة ليست غياب القنوات الرقمية بل غياب الوظائف الصحيحة داخلها؛ إذ رُصِدت 4 فجوات حرجة و1 فجوة عالية الشدة، وكانت الأكبر حجماً هي «أعطال النظام — عدم ظهور البيانات أو تحديثها في النظام بعد إتمام الإجراء» بواقع 3 حالات، فضلاً عن إمكانية تحويل 7 حالات (63.6% من الإجمالي) عبر إشعار SMS/بريد إلكتروني استباقي دون أي تغيير في البنية التحتية.</w:t>
      </w:r>
    </w:p>
    <w:p>
      <w:pPr>
        <w:bidi w:val="1"/>
        <w:pStyle w:val="Heading2"/>
        <w:jc w:val="left"/>
      </w:pPr>
      <w:r>
        <w:rPr>
          <w:rFonts w:ascii="Dubai" w:hAnsi="Dubai" w:eastAsia="Dubai" w:cs="Dubai"/>
          <w:b/>
          <w:color w:val="B68A35"/>
          <w:sz w:val="26"/>
          <w:szCs w:val="26"/>
          <w:rtl/>
        </w:rPr>
        <w:t>5.1  جدول الفجوات المُدمج</w:t>
      </w:r>
      <w:bookmarkStart w:id="16" w:name="_Toc000000016"/>
      <w:bookmarkEnd w:id="16"/>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التوصية</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نوع الفجوة</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وضع التطبيق / الموقع الحالي</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الشدّة</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الحالات</w:t>
            </w:r>
          </w:p>
        </w:tc>
        <w:tc>
          <w:tcPr>
            <w:tcW w:type="dxa" w:w="156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الموضوع</w:t>
            </w:r>
          </w:p>
        </w:tc>
      </w:tr>
      <w:tr>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يؤكد تسجيل البيانات بالطابع الزمني، وإضافة أداة استعلام ذاتي وقسم أسئلة شائعة لتأخر المزامنة.</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محتوى مفقود</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لا يتضمن التطبيق أو الموقع أي قسم للأسئلة الشائعة حول تأخر مزامنة البيانات، ولا توجد أداة استعلام ذاتي عن حالة التسجيل أو إشعار تأكيد بعد إتمام الإجراء.</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3</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أعطال النظام — عدم ظهور البيانات أو تحديثها في النظام بعد إتمام الإجراء</w:t>
            </w:r>
          </w:p>
        </w:tc>
      </w:tr>
      <w:tr>
        <w:tc>
          <w:tcPr>
            <w:tcW w:type="dxa" w:w="156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عند إصدار المخالفة مع رابط صورتها، وإتاحة نموذج إلكتروني لتصحيح أخطاء التسجيل الواضحة دون الحضور الشخصي.</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عملية غير واضحة</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تتوفر خدمة الاعتراض على المخالفات في مراكز الخدمة فقط، دون إتاحة صور المخالفة أو نموذج تصحيح إلكتروني ذاتي داخل التطبيق أو الموقع.</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مخالفات خاطئة — تسجيل مخالفة مرورية على رقم مركبة أو شخص لا علاقة له بالمخالفة دون إرفاق صورة واضحة أو آلية تصحيح ذاتي</w:t>
            </w:r>
          </w:p>
        </w:tc>
      </w:tr>
      <w:tr>
        <w:tc>
          <w:tcPr>
            <w:tcW w:type="dxa" w:w="156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توسيع خدمة الاعتراض لتشمل التطبيق والموقع، وإضافة زر بارز للاعتراض في شاشة تفاصيل المخالفة مع خطوات مرقمة وجداول زمنية واضحة.</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معلومات غير متاحة بسهولة</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تقتصر خدمة الاعتراض على الحضور الشخصي لمراكز الخدمة فقط، ولا يتضمن التطبيق أو الموقع زراً مباشراً للاعتراض في شاشة تفاصيل المخالفة.</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الاعتراض على المخالفات — غياب قناة واضحة وسهلة للاعتراض على المخالفات المرورية دون الحاجة للتواصل مع خدمة العملاء</w:t>
            </w:r>
          </w:p>
        </w:tc>
      </w:tr>
      <w:tr>
        <w:tc>
          <w:tcPr>
            <w:tcW w:type="dxa" w:w="156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إلزامي لجميع عمليات الخصم والإلغاء، وإضافة سجل معاملات في التطبيق مع تحديد اتفاقية مستوى خدمة واضحة للاسترداد.</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غياب الإشعار الاستباقي</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لا يوجد في التطبيق أو الموقع سجل شفاف لأحداث الدفع والإلغاء، ولا تُرسَل إشعارات تلقائية عند خصم المبالغ أو إلغاء الطلبات دون تدخل المتعامل.</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عدم استلام الخدمة — خصم المبالغ وإلغاء الطلب تلقائياً أو تسجيل بيانات خاطئة دون إشعار المتعامل</w:t>
            </w:r>
          </w:p>
        </w:tc>
      </w:tr>
      <w:tr>
        <w:tc>
          <w:tcPr>
            <w:tcW w:type="dxa" w:w="156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إضافة مسار إبلاغ مخصص عن مشكلات البنية التحتية في التطبيق مع ربطه ببوابة بلدية الفجيرة وتوفير روابط إحالة تبادلية فورية.</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محتوى مفقود</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لا يتضمن التطبيق أو الموقع أي مسار مخصص للإبلاغ عن مشكلات البنية التحتية، ولا توجد إحالة رقمية إلى بوابة بلدية الفجيرة.</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 عالية</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شكاوى البنية التحتية — غياب قناة رسمية لإبلاغ الجهات المعنية عن إشكاليات البنية التحتية كوضع الحواجز في المناطق السكنية</w:t>
            </w:r>
          </w:p>
        </w:tc>
      </w:tr>
    </w:tbl>
    <w:p/>
    <w:p>
      <w:pPr>
        <w:bidi w:val="1"/>
        <w:pStyle w:val="Heading2"/>
        <w:jc w:val="left"/>
      </w:pPr>
      <w:r>
        <w:rPr>
          <w:rFonts w:ascii="Dubai" w:hAnsi="Dubai" w:eastAsia="Dubai" w:cs="Dubai"/>
          <w:b/>
          <w:color w:val="B68A35"/>
          <w:sz w:val="26"/>
          <w:szCs w:val="26"/>
          <w:rtl/>
        </w:rPr>
        <w:t>5.2  الأسباب الجذرية لاستمرار المشكلات</w:t>
      </w:r>
      <w:bookmarkStart w:id="17" w:name="_Toc000000017"/>
      <w:bookmarkEnd w:id="17"/>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الحل</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مثال على التحدي</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السبب الجذري</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إنشاء بوابة إبلاغ تقني داخل التطبيق مع إشعار SMS/بريد تلقائي يؤكد تسجيل البيانات بالطابع الزمني.</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3 حالة — عدم ظهور البيانات أو تحديثها في النظام بعد إتمام الإجراء</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غياب آلية إبلاغ تقني منظمة</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إطلاق مسار رقمي مستقل لتصحيح أخطاء المخالفات يتضمن عرض الصورة ونموذج التصحيح الإلكتروني.</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3 حالة — تسجيل مخالفة مرورية على رقم مركبة أو شخص لا علاقة له بالمخالفة دون إرفاق صورة واضحة أو آلية تصحيح ذاتي</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غياب مسار رقمي مخصص</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إضافة زر اعتراض بارز في شاشة المخالفة داخل التطبيق مع حملة توعية رقمية بالقنوات المتاحة.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 حالة — غياب قناة واضحة وسهلة للاعتراض على المخالفات المرورية دون الحاجة للتواصل مع خدمة العملاء</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ضعف التوعية بالقنوات الرقمية المتاحة</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تفعيل إشعارات SMS/بريد إلكتروني إلزامية فورية لجميع أحداث الدفع والإلغاء وتغييرات البيانات.</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 حالة — خصم المبالغ وإلغاء الطلب تلقائياً أو تسجيل بيانات خاطئة دون إشعار المتعامل</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ضعف الإشعار الاستباقي</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4</w:t>
            </w:r>
          </w:p>
        </w:tc>
      </w:tr>
    </w:tbl>
    <w:p/>
    <w:p>
      <w:pPr>
        <w:bidi w:val="1"/>
        <w:pStyle w:val="Heading1"/>
        <w:jc w:val="left"/>
      </w:pPr>
      <w:r>
        <w:rPr>
          <w:rFonts w:ascii="Dubai" w:hAnsi="Dubai" w:eastAsia="Dubai" w:cs="Dubai"/>
          <w:b/>
          <w:color w:val="B68A35"/>
          <w:sz w:val="32"/>
          <w:szCs w:val="32"/>
          <w:rtl/>
        </w:rPr>
        <w:t>سادساً: التحليل الرابع — خطة التحويل الرقمي</w:t>
      </w:r>
      <w:bookmarkStart w:id="18" w:name="_Toc000000018"/>
      <w:bookmarkEnd w:id="18"/>
    </w:p>
    <w:p>
      <w:pPr>
        <w:bidi w:val="1"/>
        <w:spacing w:after="120"/>
        <w:jc w:val="both"/>
      </w:pPr>
      <w:r>
        <w:rPr>
          <w:rFonts w:ascii="Dubai" w:hAnsi="Dubai" w:eastAsia="Dubai" w:cs="Dubai"/>
          <w:b w:val="0"/>
          <w:i w:val="0"/>
          <w:color w:val="000000"/>
          <w:sz w:val="24"/>
          <w:szCs w:val="24"/>
          <w:u w:val="none"/>
          <w:rtl/>
        </w:rPr>
        <w:t>يُقدِّم هذا القسم أربعة أسئلة شائعة ذات أولوية مستخرجة من الأنماط الأكثر تكراراً في البيانات النصية للفترة الممتدة من فبراير إلى يوليو 2025، مقترنةً بمسار إشعارات استباقية يُعالج الاستفسارات قبل وقوعها. تُشير البيانات إلى أن ما لا يقل عن 4 حالات تمثّل 36.4% من إجمالي الحالات كان يمكن تفاديها بالكامل عبر منظومة إشعارات آلية بسيطة دون الحاجة إلى أي تغيير هيكلي في الخدمات.</w:t>
      </w:r>
    </w:p>
    <w:p>
      <w:pPr>
        <w:bidi w:val="1"/>
        <w:pStyle w:val="Heading2"/>
        <w:jc w:val="left"/>
      </w:pPr>
      <w:r>
        <w:rPr>
          <w:rFonts w:ascii="Dubai" w:hAnsi="Dubai" w:eastAsia="Dubai" w:cs="Dubai"/>
          <w:b/>
          <w:color w:val="B68A35"/>
          <w:sz w:val="26"/>
          <w:szCs w:val="26"/>
          <w:rtl/>
        </w:rPr>
        <w:t>6.1  الأسئلة الشائعة ذات الأولوية</w:t>
      </w:r>
      <w:bookmarkStart w:id="19" w:name="_Toc000000019"/>
      <w:bookmarkEnd w:id="19"/>
    </w:p>
    <w:p>
      <w:pPr>
        <w:bidi w:val="1"/>
        <w:spacing w:after="120"/>
        <w:jc w:val="both"/>
      </w:pPr>
      <w:r>
        <w:rPr>
          <w:rFonts w:ascii="Dubai" w:hAnsi="Dubai" w:eastAsia="Dubai" w:cs="Dubai"/>
          <w:b w:val="0"/>
          <w:i w:val="0"/>
          <w:color w:val="000000"/>
          <w:sz w:val="24"/>
          <w:szCs w:val="24"/>
          <w:u w:val="none"/>
          <w:rtl/>
        </w:rPr>
        <w:t>هذه الأسئلة مستخرجة من الأنماط الأكثر تكراراً في البيانات النصية.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التكرار</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الإجابة المقترحة</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السؤال</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تقدَّم باعتراض رسمي عبر تطبيق MOI من خلال قسم «المخالفات المرورية» ثم اختر «اعتراض»، وأرفق صورة لوحة المركبة أو وثيقة تثبت عدم الملكية كعقد البيع أو شهادة الترخيص. سيُحال الطلب للجهة المختصة للبت فيه. يمكن متابعة الحالة داخل التطبيق تحت «طلباتي».</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سُجِّلت على اسمي مخالفة مرورية لم أرتكبها ولا أملك المركبة المعنية، كيف أعترض؟</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تواصل مع خدمة العملاء عبر تطبيق MOI أو الاتصال المباشر، وأرفق رقم الطلب وإيصال الدفع الإلكتروني. سيُحال الطلب لفريق الدعم التقني الذي يعمل على حل العطل وتسجيل الرقم المميز خلال 24 إلى 48 ساعة. احتفظ بلقطة شاشة للإيصال لتسريع المعالجة.</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اشتريت رقماً مميزاً لكنه لم يظهر في تطبيق MOI بعد إتمام الشراء، ماذا أفعل؟</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قدِّم شكوى رسمية عبر تطبيق MOI من خلال قسم «الشكاوى»، وأرفق إيصال الدفع وصورة من حالة الطلب الملغى. سيتم التحقق من العملية وإما إعادة تفعيل طلب PCC أو استرداد المبلغ كاملاً وفق سياسة الاسترداد المعتمدة خلال 7 إلى 14 يوم عمل.</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دفعت رسوم شهادة السيرة الذاتية PCC عبر MOI وظهر الطلب ملغى، كيف أسترد المبلغ أو أُعيد تفعيل الطلب؟</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تواصل فوراً مع خدمة العملاء عبر تطبيق MOI أو الاتصال المباشر، وقدِّم شكوى رسمية مرفقاً بها بيانات المركبات المسجلة خطأً كأرقام اللوحات وتواريخ التسجيل. سيُحال الطلب للجهة المختصة للتحقق من السجلات وإزالة التسجيل الخاطئ في أقرب وقت ممكن.</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أجد مركبات عسكرية مسجلة على رمزي المروري دون أن أستلمها، ما الإجراء المطلوب؟</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4</w:t>
            </w:r>
          </w:p>
        </w:tc>
      </w:tr>
    </w:tbl>
    <w:p/>
    <w:p>
      <w:pPr>
        <w:bidi w:val="1"/>
      </w:pPr>
      <w:r>
        <w:rPr>
          <w:rFonts w:ascii="Dubai" w:hAnsi="Dubai" w:eastAsia="Dubai" w:cs="Dubai"/>
          <w:i/>
          <w:color w:val="000000"/>
          <w:sz w:val="22"/>
          <w:szCs w:val="22"/>
          <w:rtl/>
        </w:rPr>
        <w:t>هذه الأسئلة مستخرجة من الأنماط الأكثر تكراراً في البيانات النصية.</w:t>
      </w:r>
    </w:p>
    <w:p>
      <w:pPr>
        <w:bidi w:val="1"/>
        <w:pStyle w:val="Heading2"/>
        <w:jc w:val="left"/>
      </w:pPr>
      <w:r>
        <w:rPr>
          <w:rFonts w:ascii="Dubai" w:hAnsi="Dubai" w:eastAsia="Dubai" w:cs="Dubai"/>
          <w:b/>
          <w:color w:val="B68A35"/>
          <w:sz w:val="26"/>
          <w:szCs w:val="26"/>
          <w:rtl/>
        </w:rPr>
        <w:t>6.2  مسار إلغاء 4+ حالة تواصل بالإشعار الاستباقي</w:t>
      </w:r>
      <w:bookmarkStart w:id="20" w:name="_Toc000000020"/>
      <w:bookmarkEnd w:id="20"/>
    </w:p>
    <w:p>
      <w:pPr>
        <w:bidi w:val="1"/>
        <w:spacing w:after="120"/>
        <w:jc w:val="both"/>
      </w:pPr>
      <w:r>
        <w:rPr>
          <w:rFonts w:ascii="Dubai" w:hAnsi="Dubai" w:eastAsia="Dubai" w:cs="Dubai"/>
          <w:b w:val="0"/>
          <w:i w:val="0"/>
          <w:color w:val="000000"/>
          <w:sz w:val="24"/>
          <w:szCs w:val="24"/>
          <w:u w:val="none"/>
          <w:rtl/>
        </w:rPr>
        <w:t>تحليل البيانات يكشف أن 4+ حالة تواصل (36% من الإجمالي) كان يمكن إلغاؤها كلياً بمنظومة إشعارات بسيطة — دون أي تغيير هيكلي في الأنظمة أو الإجراءات:</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الأثر المتوقع</w:t>
            </w:r>
          </w:p>
        </w:tc>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القناة</w:t>
            </w:r>
          </w:p>
        </w:tc>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محتوى الإشعار (مثال)</w:t>
            </w:r>
          </w:p>
        </w:tc>
        <w:tc>
          <w:tcPr>
            <w:tcW w:type="dxa" w:w="1872"/>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الحالات المُلغاة</w:t>
            </w:r>
          </w:p>
        </w:tc>
        <w:tc>
          <w:tcPr>
            <w:tcW w:type="dxa" w:w="1872"/>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نوع الإشعار</w:t>
            </w:r>
          </w:p>
        </w:tc>
      </w:tr>
      <w:tr>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تفادي حالتين من الاستفسارات الواردة المتعلقة بالمخالفات الخاطئة وتقليص زيارات المراكز.</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SMS / البريد الإلكتروني</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«شرطة الفجيرة: صدرت بحقك مخالفة مرورية رقم [X] بتاريخ [X]. اضغط هنا لمشاهدة الصورة والاعتراض خلال 15 يوماً: [رابط]»</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 حالات</w:t>
            </w:r>
          </w:p>
        </w:tc>
        <w:tc>
          <w:tcPr>
            <w:tcW w:type="dxa" w:w="1872"/>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إشعار فوري بصورة المخالفة المرورية</w:t>
            </w:r>
          </w:p>
        </w:tc>
      </w:tr>
      <w:tr>
        <w:tc>
          <w:tcPr>
            <w:tcW w:type="dxa" w:w="1872"/>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إلغاء حالة استفسار واحدة ورفع ثقة المتعاملين بموثوقية منظومة الدفع الرقمي.</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SMS / إشعار داخل التطبيق</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«شرطة الفجيرة: تم تسجيل رقمك المميز [X] بنجاح على حسابك في تطبيق MOI. يمكنك الاطلاع على تفاصيله الآن من قسم «أرقامي».»</w:t>
            </w:r>
          </w:p>
        </w:tc>
        <w:tc>
          <w:tcPr>
            <w:tcW w:type="dxa" w:w="1872"/>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 حالات</w:t>
            </w:r>
          </w:p>
        </w:tc>
        <w:tc>
          <w:tcPr>
            <w:tcW w:type="dxa" w:w="1872"/>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إشعار تأكيد تسجيل الرقم المميز</w:t>
            </w:r>
          </w:p>
        </w:tc>
      </w:tr>
      <w:tr>
        <w:tc>
          <w:tcPr>
            <w:tcW w:type="dxa" w:w="1872"/>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تفادي حالة استفسار واحدة وتخفيض معدل التواصل مع الدعم بشأن الطلبات المدفوعة.</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SMS / البريد الإلكتروني</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«شرطة الفجيرة: تم استلام طلبك رقم [X] وجارٍ معالجته. الموعد المتوقع للإنجاز: [X]. لمتابعة الحالة افتح تطبيق MOI وادخل قسم «طلباتي».»</w:t>
            </w:r>
          </w:p>
        </w:tc>
        <w:tc>
          <w:tcPr>
            <w:tcW w:type="dxa" w:w="1872"/>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 حالات</w:t>
            </w:r>
          </w:p>
        </w:tc>
        <w:tc>
          <w:tcPr>
            <w:tcW w:type="dxa" w:w="1872"/>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إشعار تحديث حالة الطلب (PCC أو الخدمات المدفوعة)</w:t>
            </w:r>
          </w:p>
        </w:tc>
      </w:tr>
    </w:tbl>
    <w:p/>
    <w:p>
      <w:pPr>
        <w:bidi w:val="1"/>
      </w:pPr>
      <w:r>
        <w:rPr>
          <w:rFonts w:ascii="Dubai" w:hAnsi="Dubai" w:eastAsia="Dubai" w:cs="Dubai"/>
          <w:i/>
          <w:color w:val="000000"/>
          <w:sz w:val="22"/>
          <w:szCs w:val="22"/>
          <w:rtl/>
        </w:rPr>
        <w:t>تحليل البيانات يكشف أن 4+ حالة تواصل (36% من الإجمالي) كان يمكن إلغاؤها كلياً بمنظومة إشعارات بسيطة — دون أي تغيير هيكلي في الأنظمة أو الإجراءات:</w:t>
      </w:r>
    </w:p>
    <w:p>
      <w:pPr>
        <w:bidi w:val="1"/>
        <w:pStyle w:val="Heading1"/>
        <w:jc w:val="left"/>
      </w:pPr>
      <w:r>
        <w:rPr>
          <w:rFonts w:ascii="Dubai" w:hAnsi="Dubai" w:eastAsia="Dubai" w:cs="Dubai"/>
          <w:b/>
          <w:color w:val="B68A35"/>
          <w:sz w:val="32"/>
          <w:szCs w:val="32"/>
          <w:rtl/>
        </w:rPr>
        <w:t>سابعاً: حالات الاستخدام المدعومة بالذكاء الاصطناعي</w:t>
      </w:r>
      <w:bookmarkStart w:id="21" w:name="_Toc000000021"/>
      <w:bookmarkEnd w:id="21"/>
    </w:p>
    <w:p>
      <w:pPr>
        <w:bidi w:val="1"/>
        <w:spacing w:after="120"/>
        <w:jc w:val="both"/>
      </w:pPr>
      <w:r>
        <w:rPr>
          <w:rFonts w:ascii="Dubai" w:hAnsi="Dubai" w:eastAsia="Dubai" w:cs="Dubai"/>
          <w:b w:val="0"/>
          <w:i w:val="0"/>
          <w:color w:val="000000"/>
          <w:sz w:val="24"/>
          <w:szCs w:val="24"/>
          <w:u w:val="none"/>
          <w:rtl/>
        </w:rPr>
        <w:t>تتكامل الفرص المرصودة في فبراير - يوليو 2025 مع قدرات الذكاء الاصطناعي لتشكيل منظومة خدمة ذاتية ذكية تغطي ما نسبته 100% من حجم التواصل الحالي دون تدخل بشري في عمليات التصنيف والتوجيه. وتستند هذه المنظومة إلى 11 حالة موثقة خلال الفترة المذكورة، وتتوزع على أربع أدوات ذكاء اصطناعي متكاملة تعالج مصادر الاحتكاك عند نقطة نشوئها لا بعد تسجيلها في CRM.</w:t>
      </w:r>
    </w:p>
    <w:p>
      <w:pPr>
        <w:bidi w:val="1"/>
        <w:spacing w:after="120"/>
        <w:jc w:val="both"/>
      </w:pPr>
      <w:r>
        <w:rPr>
          <w:rFonts w:ascii="Dubai" w:hAnsi="Dubai" w:eastAsia="Dubai" w:cs="Dubai"/>
          <w:b w:val="0"/>
          <w:i w:val="0"/>
          <w:color w:val="000000"/>
          <w:sz w:val="24"/>
          <w:szCs w:val="24"/>
          <w:u w:val="none"/>
          <w:rtl/>
        </w:rPr>
        <w:t>ملاحظة محورية: بيانات التدريب جاهزة الآن — إذ تتوفر 11 حالة مُصنَّفة ومُوسومة يدوياً من فترة فبراير - يوليو 2025، وهذه المجموعة التدريبية المُعلَّمة تُتيح الشروع فوراً في تدريب نموذج التصنيف الآلي بالذكاء الاصطناعي دون الحاجة إلى أي جهود جمع بيانات إضافية.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تقييم التنفيذ</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الأثر المتوقع على بيانات فبراير - يوليو 2025</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الوظيفة</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الأداة</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مرتفع — 9+ أشهر (يتطلب الوصول لتغذية لحظية من كاميرات المخالفات)</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يُفعَّل النظام تلقائياً لحظة التقاط صورة المخالفة المرورية، إذ يستخدم نموذج رؤية حاسوبية (Computer Vision) لمطابقة لون المركبة وطرازها في الصورة مع بيانات المركبة المسجلة في قاعدة البيانات. عند اكتشاف أي تناقض بين اللوحة المصورة وسجل المركبة، يُصدر النظام تنبيهاً فورياً للمختص قبل إتمام إصدار المخالفة، مما يمنع توجيه مخالفات مشكوك في صحتها إلى المتعامل.</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نظام التحقق البصري من صور المخالفات المرورية</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متوسط — 3-4 أشهر (يتطلب خريطة صلاحيات موثقة لكل الجهات)</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يُحلل النظام نص كل حالة واردة جديدة فور تسجيلها في CRM باستخدام نموذج تصنيف نصي مدعوم بقاعدة بيانات صلاحيات الجهات، ليحدد تلقائياً الجهة المختصة من بين شرطة الفجيرة أو RTA أو البلدية أو غيرها. يُرسل النظام توجيهاً فورياً للمتعامل عبر القناة المناسبة مع بيانات الجهة الصحيحة، مما يُلغي الحاجة إلى إعادة التوجيه اليدوي المتكرر.</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محرك التوجيه الذكي لإحالات الجهات الحكومية</w:t>
            </w:r>
          </w:p>
        </w:tc>
      </w:tr>
      <w:tr>
        <w:tc>
          <w:tcPr>
            <w:tcW w:type="dxa" w:w="234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متوسط — 3-4 أشهر (نموذج OCR ومعايير التحقق من الوثائق متاحة تجارياً)</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يُشغَّل النظام عند رفع المتعامل لأي وثيقة أو صورة ضمن طلبه، إذ يوظف تقنية OCR لقراءة الحقول الإلزامية واستخراج البيانات، مقروناً بخوارزميات فحص جودة الصورة للتحقق من الدقة والوضوح وصلاحية الوثائق كشهادة الفحص وتطابق رقم الهوية. في حال رصد أي نقص أو خلل، يُرشد النظام المتعامل فورياً إلى التصحيح المطلوب قبل إتمام الإرسال، دون الحاجة لتدخل الموظف.</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فاحص جودة الوثائق والمستندات بتقنية OCR</w:t>
            </w:r>
          </w:p>
        </w:tc>
      </w:tr>
      <w:tr>
        <w:tc>
          <w:tcPr>
            <w:tcW w:type="dxa" w:w="234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منخفض–متوسط — 2-3 أشهر (بيانات الموقع مستخرجة من نصوص CRM الموجودة)</w:t>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يُعالج النظام نصوص جميع الشكاوى والبلاغات والمقترحات المسجلة في CRM باستخدام تقنية NER لاستخراج أسماء المواقع والمناطق الجغرافية المذكورة في النصوص. تُولَّد بعد ذلك خريطة حرارية تفاعلية تُظهر كثافة الحالات بحسب المنطقة الجغرافية، مما يُتيح للقيادة تحديد التقاطعات والمناطق ذات التكرار غير المتناسب لاتخاذ قرارات استثمار البنية التحتية وتوزيع الدوريات وفق أدلة بيانية موضوعية.</w:t>
            </w:r>
          </w:p>
        </w:tc>
        <w:tc>
          <w:tcPr>
            <w:tcW w:type="dxa" w:w="234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رادار الاحتكاك الجغرافي بتقنية NER والخرائط الحرارية</w:t>
            </w:r>
          </w:p>
        </w:tc>
      </w:tr>
    </w:tbl>
    <w:p/>
    <w:p>
      <w:pPr>
        <w:bidi w:val="1"/>
      </w:pPr>
      <w:r>
        <w:rPr>
          <w:rFonts w:ascii="Dubai" w:hAnsi="Dubai" w:eastAsia="Dubai" w:cs="Dubai"/>
          <w:i/>
          <w:color w:val="000000"/>
          <w:sz w:val="22"/>
          <w:szCs w:val="22"/>
          <w:rtl/>
        </w:rPr>
        <w:t>تتكامل الفرص المرصودة في فبراير - يوليو 2025 مع قدرات الذكاء الاصطناعي لتشكيل منظومة خدمة ذاتية ذكية تغطي ما نسبته 100% من حجم التواصل الحالي دون تدخل بشري في عمليات التصنيف والتوجيه. وتستند هذه المنظومة إلى 11 حالة موثقة خلال الفترة المذكورة، وتتوزع على أربع أدوات ذكاء اصطناعي متكاملة تعالج مصادر الاحتكاك عند نقطة نشوئها لا بعد تسجيلها في CRM.</w:t>
      </w:r>
    </w:p>
    <w:p>
      <w:pPr>
        <w:bidi w:val="1"/>
        <w:pStyle w:val="Heading1"/>
        <w:jc w:val="left"/>
      </w:pPr>
      <w:r>
        <w:rPr>
          <w:rFonts w:ascii="Dubai" w:hAnsi="Dubai" w:eastAsia="Dubai" w:cs="Dubai"/>
          <w:b/>
          <w:color w:val="B68A35"/>
          <w:sz w:val="32"/>
          <w:szCs w:val="32"/>
          <w:rtl/>
        </w:rPr>
        <w:t>ثامناً: خارطة الطريق التحسينية المقترحة</w:t>
      </w:r>
      <w:bookmarkStart w:id="22" w:name="_Toc000000022"/>
      <w:bookmarkEnd w:id="22"/>
    </w:p>
    <w:p>
      <w:pPr>
        <w:bidi w:val="1"/>
        <w:spacing w:after="120"/>
        <w:jc w:val="both"/>
      </w:pPr>
      <w:r>
        <w:rPr>
          <w:rFonts w:ascii="Dubai" w:hAnsi="Dubai" w:eastAsia="Dubai" w:cs="Dubai"/>
          <w:b w:val="0"/>
          <w:i w:val="0"/>
          <w:color w:val="000000"/>
          <w:sz w:val="24"/>
          <w:szCs w:val="24"/>
          <w:u w:val="none"/>
          <w:rtl/>
        </w:rPr>
        <w:t>تجمع هذه الخارطة توصيات التحليلات الأربعة في منظومة أولويات متدرجة مستندةً إلى بيانات الفترة الممتدة من فبراير إلى يوليو 2025، وتشمل 11 حالة موثقة تمثل الأساس التحليلي لكل بند مقترح. جميع البنود الثمانية مستمدة مباشرةً من مخرجات البيانات دون إضافة توصيات عامة، ومرتبة تنازلياً وفق معيارَي الأثر على تجربة المتعامل وسهولة التنفيذ.</w:t>
      </w:r>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الجهد</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الأثر المتوقع</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المصدر</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التوصية</w:t>
            </w:r>
          </w:p>
        </w:tc>
        <w:tc>
          <w:tcPr>
            <w:tcW w:type="dxa" w:w="156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w:t>
            </w:r>
          </w:p>
        </w:tc>
        <w:tc>
          <w:tcPr>
            <w:tcW w:type="dxa" w:w="156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الأفق الزمني</w:t>
            </w:r>
          </w:p>
        </w:tc>
      </w:tr>
      <w:tr>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تقليص 3+ حالات تواصل مرتبطة بتأخر ظهور البيانات وعدم تحديثها في النظام بعد إتمام الإجراء.</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نشر قسم «أسئلة شائعة» في التطبيق والبوابة يوضح مواعيد مزامنة البيانات لكل نوع معاملة، مع إشعار SMS تلقائي يحمل طابعاً زمنياً فور تسجيل البيانات بنجاح، وأداة استعلام ذاتية عن حالة المعاملة.</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1</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إلغاء 2+ حالة تواصل ناجمة عن عدم التحقق من هوية المركبة المخالفة.</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تفعيل إرسال صورة المركبة المخالفة مباشرةً ضمن إشعار SMS أو التطبيق لحظة إصدار المخالفة، ليتحقق المتعامل فورياً من صحتها دون الحاجة إلى التواصل مع الدعم.</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تقليص 2+ حالة مرتبطة بخصم المبالغ وإلغاء الطلبات دون إشعار المتعامل.</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إلزام النظام بإرسال SMS وبريد إلكتروني فور كل عملية خصم أو إلغاء خدمة، مع نشر اتفاقية مستوى خدمة الاسترداد في التطبيق والبوابة، وإنشاء مسار تصعيد مستقل لحالات الإلغاء الصامت في CRM.</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3</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تقليص 2+ حالة ناتجة عن تسجيل مخالفة على مركبة أو شخص غير معني.</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تفعيل آلية تصحيح ذاتي في التطبيق تتيح للمتعامل الاعتراض على مخالفة خاطئة برفع طلب مباشر مرفقاً بصورة OCR للوحة، مع إشعار SMS يؤكد استلام طلب التصحيح ورقم مرجعي.</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4</w:t>
            </w:r>
          </w:p>
        </w:tc>
        <w:tc>
          <w:tcPr>
            <w:tcW w:type="dxa" w:w="156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تقليص 2+ حالة ناجمة عن خصم المبالغ أو تسجيل بيانات خاطئة دون علم المتعامل.</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إضافة سجل تاريخ المعاملات في التطبيق يعرض جميع أحداث الدفع والخدمة بحالتها الفعلية، مع تنبيه SMS فوري عند أي تغيير في حالة الطلب أو البيانات المسجلة.</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5</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إلغاء 1+ حالة تواصل ناتجة عن الغموض في حالة تسجيل الرقم المميز.</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برمجة إشعار SMS تلقائي فور اكتمال تسجيل الرقم المميز في النظام، يتضمن رقم الطلب ورابطاً مباشراً لصفحة التحقق من الحالة في التطبيق أو البوابة.</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6</w:t>
            </w:r>
          </w:p>
        </w:tc>
        <w:tc>
          <w:tcPr>
            <w:tcW w:type="dxa" w:w="156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تحويل المقترحات الجغرافية المتفرقة إلى أولويات استثمار مبنية على كثافة الحالات الفعلية بالمناطق.</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كلا المصدرَين</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بناء رادار احتكاك جغرافي باستخدام تقنية NER لاستخراج المناطق من نصوص الحالات وتصويرها في خرائط حرارية بالبوابة التحليلية الداخلية لتوجيه قرارات الاستثمار في البنية التحتية.</w:t>
            </w:r>
          </w:p>
        </w:tc>
        <w:tc>
          <w:tcPr>
            <w:tcW w:type="dxa" w:w="156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7</w:t>
            </w:r>
          </w:p>
        </w:tc>
        <w:tc>
          <w:tcPr>
            <w:tcW w:type="dxa" w:w="156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قصير المدى</w:t>
            </w:r>
          </w:p>
        </w:tc>
      </w:tr>
      <w:tr>
        <w:tc>
          <w:tcPr>
            <w:tcW w:type="dxa" w:w="156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متوسط</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القضاء على الإحالات الخاطئة بين الجهات وتقليص وقت حل الحالات التي تستلزم تنسيقاً حكومياً مشتركاً.</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كلا المصدرَين</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تطوير محرك توجيه ذكي مدمج في CRM يصنف الحالة تلقائياً ويحيلها للجهة الحكومية المختصة عبر قواعد بيانات الخدمات المشتركة، مع إشعار SMS للمتعامل يوضح الجهة المحالة إليها.</w:t>
            </w:r>
          </w:p>
        </w:tc>
        <w:tc>
          <w:tcPr>
            <w:tcW w:type="dxa" w:w="156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8</w:t>
            </w:r>
          </w:p>
        </w:tc>
        <w:tc>
          <w:tcPr>
            <w:tcW w:type="dxa" w:w="156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متوسط المدى</w:t>
            </w:r>
          </w:p>
        </w:tc>
      </w:tr>
    </w:tbl>
    <w:p/>
    <w:p>
      <w:pPr>
        <w:bidi w:val="1"/>
      </w:pPr>
      <w:r>
        <w:rPr>
          <w:rFonts w:ascii="Dubai" w:hAnsi="Dubai" w:eastAsia="Dubai" w:cs="Dubai"/>
          <w:i/>
          <w:color w:val="000000"/>
          <w:sz w:val="22"/>
          <w:szCs w:val="22"/>
          <w:rtl/>
        </w:rPr>
        <w:t>تجمع هذه الخارطة توصيات التحليلات الأربعة في منظومة أولويات متدرجة مستندةً إلى بيانات الفترة الممتدة من فبراير إلى يوليو 2025، وتشمل 11 حالة موثقة تمثل الأساس التحليلي لكل بند مقترح. جميع البنود الثمانية مستمدة مباشرةً من مخرجات البيانات دون إضافة توصيات عامة، ومرتبة تنازلياً وفق معيارَي الأثر على تجربة المتعامل وسهولة التنفيذ.</w:t>
      </w:r>
    </w:p>
    <w:p>
      <w:pPr>
        <w:bidi w:val="1"/>
        <w:pStyle w:val="Heading1"/>
        <w:jc w:val="left"/>
      </w:pPr>
      <w:r>
        <w:rPr>
          <w:rFonts w:ascii="Dubai" w:hAnsi="Dubai" w:eastAsia="Dubai" w:cs="Dubai"/>
          <w:b/>
          <w:color w:val="B68A35"/>
          <w:sz w:val="32"/>
          <w:szCs w:val="32"/>
          <w:rtl/>
        </w:rPr>
        <w:t>تاسعاً: الخلاصة — من البيانات إلى القرار</w:t>
      </w:r>
      <w:bookmarkStart w:id="23" w:name="_Toc000000023"/>
      <w:bookmarkEnd w:id="23"/>
    </w:p>
    <w:p>
      <w:pPr>
        <w:bidi w:val="1"/>
        <w:spacing w:after="120"/>
        <w:jc w:val="both"/>
      </w:pPr>
      <w:r>
        <w:rPr>
          <w:rFonts w:ascii="Dubai" w:hAnsi="Dubai" w:eastAsia="Dubai" w:cs="Dubai"/>
          <w:b w:val="0"/>
          <w:i w:val="0"/>
          <w:color w:val="000000"/>
          <w:sz w:val="24"/>
          <w:szCs w:val="24"/>
          <w:u w:val="none"/>
          <w:rtl/>
        </w:rPr>
        <w:t>الرسالة النهائية: أثبتت البيانات أن 81.8% من الحالات وردت عبر قنوات التقديم الرقمية (التطبيق والموقع الإلكتروني)، غير أن معدل الإغلاق ضمن اتفاقية مستوى الخدمة بلغ 0.0%، مما يكشف أن التميز التشغيلي تحقق في قناة الوصول لا في جودة الحل؛ فضلاً عن ذلك، فإن 50.0% من حالات الاحتكاك نشأت في سياق الخدمة الرقمية ذاتها — كأعطال التطبيق والتجديد الإلكتروني والدفع الرقمي — مما يؤكد أن الفجوة الحقيقية تكمن في وظائف الخدمة لا في قدرة العميل على الوصول إليها. إن إعادة تصنيف 100.0% من الحالات الإحدى عشرة دليلٌ قاطع على أن المشكلة ليست غياب القنوات بل غياب الوظائف، ويتجلى ذلك بوضوح في تصدُّر «أعطال النظام» لعوامل الاحتكاك بثلاث حالات موثقة. وتُثبت التحليلات الواردة في هذا التقرير أن مسار الحل يمر حصراً عبر سد الفجوات الوظيفية الأربع الحرجة، وتفعيل الإشعار الاستباقي القادر على إلغاء أكثر من أربع حالات تواصل دون أي حاجة إلى رفع الطاقة البشرية، وتصحيح جودة البيانات لضمان استمرارية التحسين.</w:t>
      </w:r>
    </w:p>
    <w:p>
      <w:pPr>
        <w:bidi w:val="1"/>
        <w:pStyle w:val="Heading2"/>
        <w:jc w:val="left"/>
      </w:pPr>
      <w:r>
        <w:rPr>
          <w:rFonts w:ascii="Dubai" w:hAnsi="Dubai" w:eastAsia="Dubai" w:cs="Dubai"/>
          <w:b/>
          <w:color w:val="B68A35"/>
          <w:sz w:val="26"/>
          <w:szCs w:val="26"/>
          <w:rtl/>
        </w:rPr>
        <w:t>المحاور الثلاثة للتحول</w:t>
      </w:r>
      <w:bookmarkStart w:id="24" w:name="_Toc000000024"/>
      <w:bookmarkEnd w:id="24"/>
    </w:p>
    <w:tbl>
      <w:tblPr>
        <w:tblStyle w:val="TableGrid"/>
        <w:tblW w:type="auto" w:w="0"/>
        <w:tblLook w:firstColumn="1" w:firstRow="1" w:lastColumn="0" w:lastRow="0" w:noHBand="0" w:noVBand="1" w:val="04A0"/>
        <w:tblLayout w:type="fixed"/>
      </w:tblPr>
      <w:tblGrid>
        <w:gridCol w:w="3120"/>
        <w:gridCol w:w="3120"/>
        <w:gridCol w:w="3120"/>
      </w:tblGrid>
      <w:tr>
        <w:tc>
          <w:tcPr>
            <w:tcW w:type="dxa" w:w="312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المحور الثالث: الذكاء</w:t>
            </w:r>
          </w:p>
        </w:tc>
        <w:tc>
          <w:tcPr>
            <w:tcW w:type="dxa" w:w="312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المحور الثاني: الإتاحة</w:t>
            </w:r>
          </w:p>
        </w:tc>
        <w:tc>
          <w:tcPr>
            <w:tcW w:type="dxa" w:w="312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المحور الأول: الدقة</w:t>
            </w:r>
          </w:p>
        </w:tc>
      </w:tr>
      <w:tr>
        <w:tc>
          <w:tcPr>
            <w:tcW w:type="dxa" w:w="312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نظام التحقق البصري من صور المخالفات المرورية</w:t>
            </w:r>
          </w:p>
        </w:tc>
        <w:tc>
          <w:tcPr>
            <w:tcW w:type="dxa" w:w="312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أسئلة شائعة موحدة وشاملة</w:t>
            </w:r>
          </w:p>
        </w:tc>
        <w:tc>
          <w:tcPr>
            <w:tcW w:type="dxa" w:w="312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رفع دقة تصنيفات الطلبات</w:t>
            </w:r>
          </w:p>
        </w:tc>
      </w:tr>
      <w:tr>
        <w:tc>
          <w:tcPr>
            <w:tcW w:type="dxa" w:w="312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محرك التوجيه الذكي لإحالات الجهات الحكومية</w:t>
            </w:r>
          </w:p>
        </w:tc>
        <w:tc>
          <w:tcPr>
            <w:tcW w:type="dxa" w:w="312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إشعار فوري بصورة المخالفة المرورية</w:t>
            </w:r>
          </w:p>
        </w:tc>
        <w:tc>
          <w:tcPr>
            <w:tcW w:type="dxa" w:w="312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إضافة حقلي السبب الجذري وزمن المعالجة في حل الطلب</w:t>
            </w:r>
          </w:p>
        </w:tc>
      </w:tr>
      <w:tr>
        <w:tc>
          <w:tcPr>
            <w:tcW w:type="dxa" w:w="3120"/>
            <w:shd w:val="clear" w:color="auto" w:fill="FFFFFF"/>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فاحص جودة الوثائق والمستندات بتقنية OCR</w:t>
            </w:r>
          </w:p>
        </w:tc>
        <w:tc>
          <w:tcPr>
            <w:tcW w:type="dxa" w:w="312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إشعار تأكيد تسجيل الرقم المميز</w:t>
            </w:r>
          </w:p>
        </w:tc>
        <w:tc>
          <w:tcPr>
            <w:tcW w:type="dxa" w:w="312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إعادة هيكلة تصنيف الخدمات وإلغاء «أخرى»</w:t>
            </w:r>
          </w:p>
        </w:tc>
      </w:tr>
      <w:tr>
        <w:tc>
          <w:tcPr>
            <w:tcW w:type="dxa" w:w="3120"/>
            <w:shd w:val="clear" w:color="auto" w:fill="D9D9D9"/>
            <w:tcMar>
              <w:top w:w="60" w:type="dxa"/>
              <w:bottom w:w="60" w:type="dxa"/>
              <w:left w:w="108" w:type="dxa"/>
              <w:right w:w="108" w:type="dxa"/>
            </w:tcMar>
            <w:tcBorders>
              <w:left w:val="single" w:sz="4" w:space="0" w:color="CCCCCC"/>
              <w:top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رادار الاحتكاك الجغرافي بتقنية NER والخرائط الحرارية</w:t>
            </w:r>
          </w:p>
        </w:tc>
        <w:tc>
          <w:tcPr>
            <w:tcW w:type="dxa" w:w="3120"/>
            <w:shd w:val="clear" w:color="auto" w:fill="D9D9D9"/>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إشعار تحديث حالة الطلب (PCC أو الخدمات المدفوعة)</w:t>
            </w:r>
          </w:p>
        </w:tc>
        <w:tc>
          <w:tcPr>
            <w:tcW w:type="dxa" w:w="3120"/>
            <w:shd w:val="clear" w:color="auto" w:fill="D9D9D9"/>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r>
          </w:p>
        </w:tc>
      </w:tr>
    </w:tbl>
    <w:p/>
    <w:p>
      <w:pPr>
        <w:bidi w:val="1"/>
        <w:pStyle w:val="Heading2"/>
        <w:jc w:val="left"/>
      </w:pPr>
      <w:r>
        <w:rPr>
          <w:rFonts w:ascii="Dubai" w:hAnsi="Dubai" w:eastAsia="Dubai" w:cs="Dubai"/>
          <w:b/>
          <w:color w:val="B68A35"/>
          <w:sz w:val="26"/>
          <w:szCs w:val="26"/>
          <w:rtl/>
        </w:rPr>
        <w:t>الأثر المجمّع المتوقع:</w:t>
      </w:r>
      <w:bookmarkStart w:id="25" w:name="_Toc000000025"/>
      <w:bookmarkEnd w:id="2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30-40%</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95%+</w:t>
            </w:r>
          </w:p>
        </w:tc>
        <w:tc>
          <w:tcPr>
            <w:tcW w:type="dxa" w:w="2340"/>
            <w:shd w:val="clear" w:color="auto" w:fill="B68A35"/>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color w:val="FFFFFF"/>
                <w:sz w:val="20"/>
                <w:szCs w:val="20"/>
                <w:rtl/>
              </w:rPr>
              <w:t>4+</w:t>
            </w:r>
          </w:p>
        </w:tc>
        <w:tc>
          <w:tcPr>
            <w:tcW w:type="dxa" w:w="2340"/>
            <w:shd w:val="clear" w:color="auto" w:fill="B68A35"/>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color w:val="FFFFFF"/>
                <w:sz w:val="20"/>
                <w:szCs w:val="20"/>
                <w:rtl/>
              </w:rPr>
              <w:t>0.0%</w:t>
            </w:r>
          </w:p>
        </w:tc>
      </w:tr>
      <w:tr>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خفض حالات التواصل المتكرر والاتصالات</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دقة تصنيف الحالات بعد المُصنِّف الآلي وتطبيق المبادرات المقترحة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right w:val="single" w:sz="4" w:space="0" w:color="CCCCCC"/>
              <w:left w:val="single" w:sz="4" w:space="0" w:color="CCCCCC"/>
            </w:tcBorders>
          </w:tcPr>
          <w:p>
            <w:pPr>
              <w:bidi w:val="1"/>
              <w:spacing w:before="60" w:after="60"/>
            </w:pPr>
            <w:r>
              <w:rPr>
                <w:rFonts w:ascii="Dubai" w:hAnsi="Dubai" w:eastAsia="Dubai" w:cs="Dubai"/>
                <w:b w:val="0"/>
                <w:color w:val="000000"/>
                <w:sz w:val="20"/>
                <w:szCs w:val="20"/>
                <w:rtl/>
              </w:rPr>
              <w:t>حالة قابلة للإلغاء بالإشعار الاستباقي</w:t>
            </w:r>
          </w:p>
        </w:tc>
        <w:tc>
          <w:tcPr>
            <w:tcW w:type="dxa" w:w="2340"/>
            <w:shd w:val="clear" w:color="auto" w:fill="FFFFFF"/>
            <w:tcMar>
              <w:top w:w="60" w:type="dxa"/>
              <w:bottom w:w="60" w:type="dxa"/>
              <w:left w:w="108" w:type="dxa"/>
              <w:right w:w="108" w:type="dxa"/>
            </w:tcMar>
            <w:tcBorders>
              <w:top w:val="single" w:sz="4" w:space="0" w:color="CCCCCC"/>
              <w:left w:val="single" w:sz="4" w:space="0" w:color="CCCCCC"/>
              <w:bottom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من طلبات التواصل هي استفسارات حقيقية قابلة للتحويل الكامل للخدمة الاستباقية</w:t>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Bdr>
        <w:top w:val="single" w:sz="12" w:space="4" w:color="B68A35"/>
      </w:pBdr>
    </w:pPr>
    <w:r>
      <w:rPr>
        <w:rFonts w:ascii="Dubai" w:hAnsi="Dubai" w:eastAsia="Dubai" w:cs="Dubai"/>
        <w:sz w:val="18"/>
        <w:szCs w:val="18"/>
      </w:rPr>
      <w:t xml:space="preserve">سري — للاستخدام الداخلي  |  صفحة </w:t>
    </w:r>
    <w:r>
      <w:rPr>
        <w:rFonts w:ascii="Dubai" w:hAnsi="Dubai" w:eastAsia="Dubai" w:cs="Dubai"/>
        <w:sz w:val="18"/>
        <w:szCs w:val="18"/>
      </w:rPr>
      <w:t>‏</w:t>
    </w:r>
    <w:r>
      <w:fldChar w:fldCharType="begin"/>
    </w:r>
    <w:r>
      <w:instrText xml:space="preserve"> PAGE </w:instrText>
    </w:r>
    <w:r>
      <w:fldChar w:fldCharType="end"/>
    </w:r>
    <w:r>
      <w:rPr>
        <w:rFonts w:ascii="Dubai" w:hAnsi="Dubai" w:eastAsia="Dubai" w:cs="Dubai"/>
        <w:sz w:val="18"/>
        <w:szCs w:val="18"/>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Header"/>
      <w:jc w:val="center"/>
      <w:pBdr>
        <w:bottom w:val="single" w:sz="12" w:space="4" w:color="B68A35"/>
      </w:pBdr>
    </w:pPr>
    <w:r>
      <w:rPr>
        <w:rFonts w:ascii="Dubai" w:hAnsi="Dubai" w:eastAsia="Dubai" w:cs="Dubai"/>
        <w:color w:val="B68A35"/>
        <w:sz w:val="20"/>
        <w:szCs w:val="20"/>
        <w:rtl/>
      </w:rPr>
      <w:t>تقرير تحليل استفسارات المتعاملين  ·  فبراير - يوليو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Dubai" w:hAnsi="Dubai" w:cs="Duba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ubai" w:hAnsi="Dubai" w:cs="Dubai"/>
      <w:b/>
      <w:bCs/>
      <w:color w:val="B68A3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ubai" w:hAnsi="Dubai" w:cs="Dubai"/>
      <w:b/>
      <w:bCs/>
      <w:color w:val="B68A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Dubai" w:hAnsi="Dubai" w:cs="Dubai"/>
      <w:b/>
      <w:bCs/>
      <w:color w:val="B68A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Heading">
    <w:name w:val="TOC Heading"/>
    <w:basedOn w:val="Heading1"/>
    <w:next w:val="Normal"/>
    <w:uiPriority w:val="39"/>
    <w:unhideWhenUsed/>
    <w:qFormat/>
    <w:pPr>
      <w:shd w:val="clear" w:color="auto" w:fill="B68A35"/>
      <w:bidi/>
      <w:spacing w:before="0" w:line="240" w:lineRule="auto"/>
      <w:ind w:left="0"/>
      <w:jc w:val="left"/>
    </w:pPr>
    <w:rPr>
      <w:rFonts w:ascii="Dubai" w:hAnsi="Dubai" w:cs="Dubai"/>
      <w:b/>
      <w:bCs/>
      <w:color w:val="FFFFFF"/>
      <w:rtl/>
    </w:rPr>
  </w:style>
  <w:style w:type="paragraph" w:styleId="TOC1">
    <w:name w:val="toc 1"/>
    <w:basedOn w:val="Normal"/>
    <w:next w:val="Normal"/>
    <w:autoRedefine/>
    <w:uiPriority w:val="39"/>
    <w:unhideWhenUsed/>
    <w:pPr>
      <w:tabs>
        <w:tab w:val="right" w:leader="dot" w:pos="9310"/>
      </w:tabs>
      <w:bidi/>
      <w:spacing w:after="100"/>
      <w:jc w:val="left"/>
    </w:pPr>
    <w:rPr>
      <w:rFonts w:cs="Dubai"/>
    </w:rPr>
  </w:style>
  <w:style w:type="paragraph" w:styleId="TOC2">
    <w:name w:val="toc 2"/>
    <w:basedOn w:val="Normal"/>
    <w:next w:val="Normal"/>
    <w:autoRedefine/>
    <w:uiPriority w:val="39"/>
    <w:unhideWhenUsed/>
    <w:pPr>
      <w:tabs>
        <w:tab w:val="right" w:leader="dot" w:pos="9310"/>
      </w:tabs>
      <w:bidi/>
      <w:spacing w:after="100"/>
      <w:jc w:val="left"/>
    </w:pPr>
    <w:rPr>
      <w:rFonts w:cs="Dubai"/>
    </w:rPr>
  </w:style>
  <w:style w:type="paragraph" w:styleId="TOC3">
    <w:name w:val="toc 3"/>
    <w:basedOn w:val="Normal"/>
    <w:next w:val="Normal"/>
    <w:autoRedefine/>
    <w:uiPriority w:val="39"/>
    <w:unhideWhenUsed/>
    <w:pPr>
      <w:tabs>
        <w:tab w:val="right" w:leader="dot" w:pos="9310"/>
      </w:tabs>
      <w:bidi/>
      <w:spacing w:after="100"/>
      <w:jc w:val="left"/>
    </w:pPr>
    <w:rPr>
      <w:rFonts w:cs="Dubai"/>
    </w:rPr>
  </w:style>
  <w:style w:type="character" w:styleId="Hyperlink">
    <w:name w:val="Hyperlink"/>
    <w:basedOn w:val="DefaultParagraphFont"/>
    <w:uiPriority w:val="99"/>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chart1_data.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lang="ar-SA" sz="1200"/>
              <a:t>التصنيف الأصلي مقارنةً بالتصنيف الصحيح</a:t>
            </a:r>
          </a:p>
        </c:rich>
      </c:tx>
      <c:overlay val="0"/>
    </c:title>
    <c:plotArea>
      <c:layout/>
      <c:barChart>
        <c:barDir val="bar"/>
        <c:grouping val="clustered"/>
        <c:varyColors val="0"/>
        <c:ser>
          <c:idx val="0"/>
          <c:order val="0"/>
          <c:tx>
            <c:strRef>
              <c:f>Sheet1!$B$1</c:f>
              <c:strCache>
                <c:ptCount val="1"/>
                <c:pt idx="0">
                  <c:v>التصنيف الأصلي</c:v>
                </c:pt>
              </c:strCache>
            </c:strRef>
          </c:tx>
          <c:spPr>
            <a:solidFill>
              <a:srgbClr val="2E5090"/>
            </a:solidFill>
            <a:ln>
              <a:solidFill>
                <a:srgbClr val="2E5090"/>
              </a:solidFill>
            </a:ln>
          </c:spPr>
          <c:cat>
            <c:strRef>
              <c:f>Sheet1!$A$2:$A$5</c:f>
              <c:strCache>
                <c:ptCount val="4"/>
                <c:pt idx="0">
                  <c:v>شكوى</c:v>
                </c:pt>
                <c:pt idx="1">
                  <c:v>استفسار</c:v>
                </c:pt>
                <c:pt idx="2">
                  <c:v>طلب</c:v>
                </c:pt>
                <c:pt idx="3">
                  <c:v>شكر وثناء</c:v>
                </c:pt>
              </c:strCache>
            </c:strRef>
          </c:cat>
          <c:val>
            <c:numRef>
              <c:f>Sheet1!$B$2:$B$5</c:f>
              <c:numCache>
                <c:formatCode>General</c:formatCode>
                <c:ptCount val="4"/>
                <c:pt idx="0">
                  <c:v>0.0</c:v>
                </c:pt>
                <c:pt idx="1">
                  <c:v>10.0</c:v>
                </c:pt>
                <c:pt idx="2">
                  <c:v>0.0</c:v>
                </c:pt>
                <c:pt idx="3">
                  <c:v>0.0</c:v>
                </c:pt>
              </c:numCache>
            </c:numRef>
          </c:val>
        </c:ser>
        <c:ser>
          <c:idx val="1"/>
          <c:order val="1"/>
          <c:tx>
            <c:strRef>
              <c:f>Sheet1!$C$1</c:f>
              <c:strCache>
                <c:ptCount val="1"/>
                <c:pt idx="0">
                  <c:v>التصنيف الصحيح</c:v>
                </c:pt>
              </c:strCache>
            </c:strRef>
          </c:tx>
          <c:spPr>
            <a:solidFill>
              <a:srgbClr val="B68A35"/>
            </a:solidFill>
            <a:ln>
              <a:solidFill>
                <a:srgbClr val="B68A35"/>
              </a:solidFill>
            </a:ln>
          </c:spPr>
          <c:cat>
            <c:strRef>
              <c:f>Sheet1!$A$2:$A$5</c:f>
              <c:strCache>
                <c:ptCount val="4"/>
                <c:pt idx="0">
                  <c:v>شكوى</c:v>
                </c:pt>
                <c:pt idx="1">
                  <c:v>استفسار</c:v>
                </c:pt>
                <c:pt idx="2">
                  <c:v>طلب</c:v>
                </c:pt>
                <c:pt idx="3">
                  <c:v>شكر وثناء</c:v>
                </c:pt>
              </c:strCache>
            </c:strRef>
          </c:cat>
          <c:val>
            <c:numRef>
              <c:f>Sheet1!$C$2:$C$5</c:f>
              <c:numCache>
                <c:formatCode>General</c:formatCode>
                <c:ptCount val="4"/>
                <c:pt idx="0">
                  <c:v>10.0</c:v>
                </c:pt>
                <c:pt idx="1">
                  <c:v>0.0</c:v>
                </c:pt>
                <c:pt idx="2">
                  <c:v>0.0</c:v>
                </c:pt>
                <c:pt idx="3">
                  <c:v>1.0</c:v>
                </c:pt>
              </c:numCache>
            </c:numRef>
          </c:val>
        </c:ser>
        <c:axId val="1"/>
        <c:axId val="2"/>
      </c:barChart>
      <c:catAx>
        <c:axId val="1"/>
        <c:scaling>
          <c:orientation val="minMax"/>
        </c:scaling>
        <c:delete val="0"/>
        <c:axPos val="b"/>
        <c:majorTickMark val="out"/>
        <c:minorTickMark val="none"/>
        <c:tickLblPos val="nextTo"/>
        <c:crossAx val="2"/>
        <c:crosses val="autoZero"/>
        <c:auto val="1"/>
        <c:lblAlgn val="ctr"/>
        <c:lblOffset val="100"/>
        <c:noMultiLvlLbl val="0"/>
        <c:txPr>
          <a:bodyPr/>
          <a:lstStyle/>
          <a:p>
            <a:pPr>
              <a:defRPr sz="900"/>
            </a:pPr>
          </a:p>
        </c:txPr>
      </c:catAx>
      <c:valAx>
        <c:axId val="2"/>
        <c:scaling/>
        <c:delete val="0"/>
        <c:axPos val="l"/>
        <c:majorGridlines/>
        <c:majorTickMark val="out"/>
        <c:minorTickMark val="none"/>
        <c:tickLblPos val="nextTo"/>
        <c:crossAx val="1"/>
        <c:crosses val="autoZero"/>
        <c:txPr>
          <a:bodyPr/>
          <a:lstStyle/>
          <a:p>
            <a:pPr>
              <a:defRPr sz="900"/>
            </a:pPr>
          </a:p>
        </c:txPr>
      </c:valAx>
      <c:spPr>
        <a:solidFill>
          <a:srgbClr val="FFFFFF"/>
        </a:solidFill>
      </c:spPr>
    </c:plotArea>
    <c:dispBlanksAs val="gap"/>
    <c:legend>
      <c:legendPos val="b"/>
      <c:overlay val="0"/>
      <c:txPr>
        <a:bodyPr/>
        <a:lstStyle/>
        <a:p>
          <a:pPr>
            <a:defRPr sz="900"/>
          </a:pPr>
        </a:p>
      </c:txPr>
    </c:legend>
    <c:plotVisOnly val="1"/>
  </c:chart>
  <c:txPr>
    <a:bodyPr/>
    <a:lstStyle/>
    <a:p>
      <a:pPr>
        <a:defRPr sz="1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