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pStyle w:val="Heading1"/>
        <w:spacing w:before="240" w:after="240"/>
        <w:jc w:val="center"/>
      </w:pPr>
      <w:r>
        <w:rPr>
          <w:rFonts w:ascii="Calibri" w:hAnsi="Calibri" w:eastAsia="Calibri" w:cs="Calibri"/>
          <w:b/>
          <w:color w:val="B68A35"/>
          <w:sz w:val="32"/>
          <w:szCs w:val="32"/>
        </w:rPr>
        <w:t>Customer Inquiry Analysis Report — February - July 2025</w:t>
      </w:r>
      <w:bookmarkStart w:id="1" w:name="_Toc000000001"/>
      <w:bookmarkEnd w:id="1"/>
    </w:p>
    <w:p>
      <w:pPr>
        <w:spacing w:before="160" w:after="160"/>
        <w:pBdr>
          <w:bottom w:val="single" w:sz="12" w:space="4" w:color="B68A35"/>
        </w:pBdr>
      </w:pPr>
    </w:p>
    <w:p>
      <w:pPr>
        <w:spacing w:before="0" w:after="320"/>
      </w:pPr>
    </w:p>
    <w:p>
      <w:pPr>
        <w:spacing w:after="160"/>
        <w:jc w:val="center"/>
      </w:pPr>
      <w:r>
        <w:rPr>
          <w:rFonts w:ascii="Calibri" w:hAnsi="Calibri" w:eastAsia="Calibri" w:cs="Calibri"/>
          <w:b/>
          <w:i w:val="0"/>
          <w:color w:val="B68A35"/>
          <w:sz w:val="28"/>
          <w:szCs w:val="24"/>
          <w:u w:val="none"/>
        </w:rPr>
        <w:t>February - July 2025</w:t>
      </w:r>
    </w:p>
    <w:p>
      <w:pPr>
        <w:spacing w:before="0" w:after="320"/>
      </w:pPr>
    </w:p>
    <w:p>
      <w:pPr>
        <w:spacing w:after="160"/>
        <w:jc w:val="center"/>
      </w:pPr>
      <w:r>
        <w:rPr>
          <w:rFonts w:ascii="Calibri" w:hAnsi="Calibri" w:eastAsia="Calibri" w:cs="Calibri"/>
          <w:b/>
          <w:i w:val="0"/>
          <w:color w:val="B68A35"/>
          <w:sz w:val="28"/>
          <w:szCs w:val="24"/>
          <w:u w:val="none"/>
        </w:rPr>
        <w:t>Total Closed Cases: 11</w:t>
      </w:r>
    </w:p>
    <w:p>
      <w:pPr>
        <w:spacing w:after="160"/>
        <w:jc w:val="center"/>
      </w:pPr>
      <w:r>
        <w:rPr>
          <w:rFonts w:ascii="Calibri" w:hAnsi="Calibri" w:eastAsia="Calibri" w:cs="Calibri"/>
          <w:b/>
          <w:i w:val="0"/>
          <w:color w:val="B68A35"/>
          <w:sz w:val="28"/>
          <w:szCs w:val="24"/>
          <w:u w:val="none"/>
        </w:rPr>
        <w:t>Complaints: 90.9% of Total Contact</w:t>
      </w:r>
    </w:p>
    <w:p>
      <w:pPr>
        <w:spacing w:after="160"/>
        <w:jc w:val="center"/>
      </w:pPr>
      <w:r>
        <w:rPr>
          <w:rFonts w:ascii="Calibri" w:hAnsi="Calibri" w:eastAsia="Calibri" w:cs="Calibri"/>
          <w:b/>
          <w:i w:val="0"/>
          <w:color w:val="B68A35"/>
          <w:sz w:val="28"/>
          <w:szCs w:val="24"/>
          <w:u w:val="none"/>
        </w:rPr>
        <w:t>On-Time Closure Rate: 100%</w:t>
      </w:r>
    </w:p>
    <w:p>
      <w:pPr>
        <w:spacing w:before="0" w:after="640"/>
      </w:pPr>
    </w:p>
    <w:p>
      <w:pPr>
        <w:spacing w:after="0"/>
        <w:jc w:val="center"/>
      </w:pPr>
      <w:r>
        <w:rPr>
          <w:rFonts w:ascii="Calibri" w:hAnsi="Calibri" w:eastAsia="Calibri" w:cs="Calibri"/>
          <w:b w:val="0"/>
          <w:i w:val="0"/>
          <w:color w:val="606060"/>
          <w:sz w:val="24"/>
          <w:szCs w:val="24"/>
          <w:u w:val="none"/>
        </w:rPr>
        <w:t>Fujairah Police  |  2026-05-12  |  Integrated Business Intelligence Analysis</w:t>
      </w:r>
    </w:p>
    <w:p>
      <w:r>
        <w:br w:type="page"/>
      </w:r>
    </w:p>
    <w:sdt>
      <w:sdtPr>
        <w:docPartObj>
          <w:docPartGallery w:val="Table of Contents"/>
          <w:docPartUnique/>
        </w:docPartObj>
      </w:sdtPr>
      <w:sdtEndPr/>
      <w:sdtContent>
        <w:p>
          <w:pPr>
            <w:pStyle w:val="TOCHeading"/>
          </w:pPr>
          <w:r>
            <w:rPr>
              <w:rFonts w:ascii="Calibri" w:hAnsi="Calibri" w:cs="Calibri"/>
              <w:color w:val="FFFFFF"/>
            </w:rPr>
            <w:t>Table of Contents</w:t>
          </w:r>
        </w:p>
        <w:p>
          <w:pPr>
            <w:pStyle w:val="TOC1"/>
          </w:pPr>
          <w:r>
            <w:fldChar w:fldCharType="begin"/>
          </w:r>
          <w:r>
            <w:instrText xml:space="preserve"> TOC \o "1-3" \h \z \u </w:instrText>
          </w:r>
          <w:r>
            <w:fldChar w:fldCharType="separate"/>
          </w:r>
          <w:hyperlink w:anchor="_Toc000000002" w:history="1">
            <w:r>
              <w:rPr>
                <w:rStyle w:val="Hyperlink"/>
                <w:rFonts w:ascii="Calibri" w:hAnsi="Calibri" w:cs="Calibri"/>
                <w:noProof/>
              </w:rPr>
              <w:t>First: Executive Summary — Key Analyses</w:t>
            </w:r>
            <w:r>
              <w:rPr>
                <w:noProof/>
                <w:webHidden/>
              </w:rPr>
              <w:tab/>
            </w:r>
            <w:r>
              <w:fldChar w:fldCharType="begin"/>
            </w:r>
            <w:r>
              <w:instrText xml:space="preserve"> PAGEREF _Toc000000002 \h </w:instrText>
            </w:r>
            <w:r>
              <w:rPr>
                <w:noProof/>
                <w:webHidden/>
              </w:rPr>
              <w:fldChar w:fldCharType="separate"/>
            </w:r>
            <w:r>
              <w:rPr>
                <w:noProof/>
                <w:webHidden/>
              </w:rPr>
              <w:t>1</w:t>
            </w:r>
            <w:r>
              <w:rPr>
                <w:noProof/>
                <w:webHidden/>
              </w:rPr>
              <w:fldChar w:fldCharType="end"/>
            </w:r>
          </w:hyperlink>
        </w:p>
        <w:p>
          <w:pPr>
            <w:pStyle w:val="TOC2"/>
          </w:pPr>
          <w:hyperlink w:anchor="_Toc000000003" w:history="1">
            <w:r>
              <w:rPr>
                <w:rStyle w:val="Hyperlink"/>
                <w:rFonts w:ascii="Calibri" w:hAnsi="Calibri" w:cs="Calibri"/>
                <w:noProof/>
              </w:rPr>
              <w:t>Key Findings</w:t>
            </w:r>
            <w:r>
              <w:rPr>
                <w:noProof/>
                <w:webHidden/>
              </w:rPr>
              <w:tab/>
            </w:r>
            <w:r>
              <w:fldChar w:fldCharType="begin"/>
            </w:r>
            <w:r>
              <w:instrText xml:space="preserve"> PAGEREF _Toc000000003 \h </w:instrText>
            </w:r>
            <w:r>
              <w:rPr>
                <w:noProof/>
                <w:webHidden/>
              </w:rPr>
              <w:fldChar w:fldCharType="separate"/>
            </w:r>
            <w:r>
              <w:rPr>
                <w:noProof/>
                <w:webHidden/>
              </w:rPr>
              <w:t>1</w:t>
            </w:r>
            <w:r>
              <w:rPr>
                <w:noProof/>
                <w:webHidden/>
              </w:rPr>
              <w:fldChar w:fldCharType="end"/>
            </w:r>
          </w:hyperlink>
        </w:p>
        <w:p>
          <w:pPr>
            <w:pStyle w:val="TOC1"/>
          </w:pPr>
          <w:hyperlink w:anchor="_Toc000000004" w:history="1">
            <w:r>
              <w:rPr>
                <w:rStyle w:val="Hyperlink"/>
                <w:rFonts w:ascii="Calibri" w:hAnsi="Calibri" w:cs="Calibri"/>
                <w:noProof/>
              </w:rPr>
              <w:t>Second: Methodology and Nature of Sources</w:t>
            </w:r>
            <w:r>
              <w:rPr>
                <w:noProof/>
                <w:webHidden/>
              </w:rPr>
              <w:tab/>
            </w:r>
            <w:r>
              <w:fldChar w:fldCharType="begin"/>
            </w:r>
            <w:r>
              <w:instrText xml:space="preserve"> PAGEREF _Toc000000004 \h </w:instrText>
            </w:r>
            <w:r>
              <w:rPr>
                <w:noProof/>
                <w:webHidden/>
              </w:rPr>
              <w:fldChar w:fldCharType="separate"/>
            </w:r>
            <w:r>
              <w:rPr>
                <w:noProof/>
                <w:webHidden/>
              </w:rPr>
              <w:t>1</w:t>
            </w:r>
            <w:r>
              <w:rPr>
                <w:noProof/>
                <w:webHidden/>
              </w:rPr>
              <w:fldChar w:fldCharType="end"/>
            </w:r>
          </w:hyperlink>
        </w:p>
        <w:p>
          <w:pPr>
            <w:pStyle w:val="TOC2"/>
          </w:pPr>
          <w:hyperlink w:anchor="_Toc000000005" w:history="1">
            <w:r>
              <w:rPr>
                <w:rStyle w:val="Hyperlink"/>
                <w:rFonts w:ascii="Calibri" w:hAnsi="Calibri" w:cs="Calibri"/>
                <w:noProof/>
              </w:rPr>
              <w:t>2.1  Analysed Sources</w:t>
            </w:r>
            <w:r>
              <w:rPr>
                <w:noProof/>
                <w:webHidden/>
              </w:rPr>
              <w:tab/>
            </w:r>
            <w:r>
              <w:fldChar w:fldCharType="begin"/>
            </w:r>
            <w:r>
              <w:instrText xml:space="preserve"> PAGEREF _Toc000000005 \h </w:instrText>
            </w:r>
            <w:r>
              <w:rPr>
                <w:noProof/>
                <w:webHidden/>
              </w:rPr>
              <w:fldChar w:fldCharType="separate"/>
            </w:r>
            <w:r>
              <w:rPr>
                <w:noProof/>
                <w:webHidden/>
              </w:rPr>
              <w:t>1</w:t>
            </w:r>
            <w:r>
              <w:rPr>
                <w:noProof/>
                <w:webHidden/>
              </w:rPr>
              <w:fldChar w:fldCharType="end"/>
            </w:r>
          </w:hyperlink>
        </w:p>
        <w:p>
          <w:pPr>
            <w:pStyle w:val="TOC2"/>
          </w:pPr>
          <w:hyperlink w:anchor="_Toc000000006" w:history="1">
            <w:r>
              <w:rPr>
                <w:rStyle w:val="Hyperlink"/>
                <w:rFonts w:ascii="Calibri" w:hAnsi="Calibri" w:cs="Calibri"/>
                <w:noProof/>
              </w:rPr>
              <w:t>2.2  Classification Methodology</w:t>
            </w:r>
            <w:r>
              <w:rPr>
                <w:noProof/>
                <w:webHidden/>
              </w:rPr>
              <w:tab/>
            </w:r>
            <w:r>
              <w:fldChar w:fldCharType="begin"/>
            </w:r>
            <w:r>
              <w:instrText xml:space="preserve"> PAGEREF _Toc000000006 \h </w:instrText>
            </w:r>
            <w:r>
              <w:rPr>
                <w:noProof/>
                <w:webHidden/>
              </w:rPr>
              <w:fldChar w:fldCharType="separate"/>
            </w:r>
            <w:r>
              <w:rPr>
                <w:noProof/>
                <w:webHidden/>
              </w:rPr>
              <w:t>1</w:t>
            </w:r>
            <w:r>
              <w:rPr>
                <w:noProof/>
                <w:webHidden/>
              </w:rPr>
              <w:fldChar w:fldCharType="end"/>
            </w:r>
          </w:hyperlink>
        </w:p>
        <w:p>
          <w:pPr>
            <w:pStyle w:val="TOC2"/>
          </w:pPr>
          <w:hyperlink w:anchor="_Toc000000007" w:history="1">
            <w:r>
              <w:rPr>
                <w:rStyle w:val="Hyperlink"/>
                <w:rFonts w:ascii="Calibri" w:hAnsi="Calibri" w:cs="Calibri"/>
                <w:noProof/>
              </w:rPr>
              <w:t>2.3  Analysed Fields</w:t>
            </w:r>
            <w:r>
              <w:rPr>
                <w:noProof/>
                <w:webHidden/>
              </w:rPr>
              <w:tab/>
            </w:r>
            <w:r>
              <w:fldChar w:fldCharType="begin"/>
            </w:r>
            <w:r>
              <w:instrText xml:space="preserve"> PAGEREF _Toc000000007 \h </w:instrText>
            </w:r>
            <w:r>
              <w:rPr>
                <w:noProof/>
                <w:webHidden/>
              </w:rPr>
              <w:fldChar w:fldCharType="separate"/>
            </w:r>
            <w:r>
              <w:rPr>
                <w:noProof/>
                <w:webHidden/>
              </w:rPr>
              <w:t>1</w:t>
            </w:r>
            <w:r>
              <w:rPr>
                <w:noProof/>
                <w:webHidden/>
              </w:rPr>
              <w:fldChar w:fldCharType="end"/>
            </w:r>
          </w:hyperlink>
        </w:p>
        <w:p>
          <w:pPr>
            <w:pStyle w:val="TOC1"/>
          </w:pPr>
          <w:hyperlink w:anchor="_Toc000000008" w:history="1">
            <w:r>
              <w:rPr>
                <w:rStyle w:val="Hyperlink"/>
                <w:rFonts w:ascii="Calibri" w:hAnsi="Calibri" w:cs="Calibri"/>
                <w:noProof/>
              </w:rPr>
              <w:t>Third: First Analysis — Contact Type Classification Map</w:t>
            </w:r>
            <w:r>
              <w:rPr>
                <w:noProof/>
                <w:webHidden/>
              </w:rPr>
              <w:tab/>
            </w:r>
            <w:r>
              <w:fldChar w:fldCharType="begin"/>
            </w:r>
            <w:r>
              <w:instrText xml:space="preserve"> PAGEREF _Toc000000008 \h </w:instrText>
            </w:r>
            <w:r>
              <w:rPr>
                <w:noProof/>
                <w:webHidden/>
              </w:rPr>
              <w:fldChar w:fldCharType="separate"/>
            </w:r>
            <w:r>
              <w:rPr>
                <w:noProof/>
                <w:webHidden/>
              </w:rPr>
              <w:t>1</w:t>
            </w:r>
            <w:r>
              <w:rPr>
                <w:noProof/>
                <w:webHidden/>
              </w:rPr>
              <w:fldChar w:fldCharType="end"/>
            </w:r>
          </w:hyperlink>
        </w:p>
        <w:p>
          <w:pPr>
            <w:pStyle w:val="TOC2"/>
          </w:pPr>
          <w:hyperlink w:anchor="_Toc000000009" w:history="1">
            <w:r>
              <w:rPr>
                <w:rStyle w:val="Hyperlink"/>
                <w:rFonts w:ascii="Calibri" w:hAnsi="Calibri" w:cs="Calibri"/>
                <w:noProof/>
              </w:rPr>
              <w:t>3.1  Actual Contact Type Distribution</w:t>
            </w:r>
            <w:r>
              <w:rPr>
                <w:noProof/>
                <w:webHidden/>
              </w:rPr>
              <w:tab/>
            </w:r>
            <w:r>
              <w:fldChar w:fldCharType="begin"/>
            </w:r>
            <w:r>
              <w:instrText xml:space="preserve"> PAGEREF _Toc000000009 \h </w:instrText>
            </w:r>
            <w:r>
              <w:rPr>
                <w:noProof/>
                <w:webHidden/>
              </w:rPr>
              <w:fldChar w:fldCharType="separate"/>
            </w:r>
            <w:r>
              <w:rPr>
                <w:noProof/>
                <w:webHidden/>
              </w:rPr>
              <w:t>1</w:t>
            </w:r>
            <w:r>
              <w:rPr>
                <w:noProof/>
                <w:webHidden/>
              </w:rPr>
              <w:fldChar w:fldCharType="end"/>
            </w:r>
          </w:hyperlink>
        </w:p>
        <w:p>
          <w:pPr>
            <w:pStyle w:val="TOC2"/>
          </w:pPr>
          <w:hyperlink w:anchor="_Toc000000010" w:history="1">
            <w:r>
              <w:rPr>
                <w:rStyle w:val="Hyperlink"/>
                <w:rFonts w:ascii="Calibri" w:hAnsi="Calibri" w:cs="Calibri"/>
                <w:noProof/>
              </w:rPr>
              <w:t>3.2  Classification Accuracy — 100.0% of Cases Reclassified</w:t>
            </w:r>
            <w:r>
              <w:rPr>
                <w:noProof/>
                <w:webHidden/>
              </w:rPr>
              <w:tab/>
            </w:r>
            <w:r>
              <w:fldChar w:fldCharType="begin"/>
            </w:r>
            <w:r>
              <w:instrText xml:space="preserve"> PAGEREF _Toc000000010 \h </w:instrText>
            </w:r>
            <w:r>
              <w:rPr>
                <w:noProof/>
                <w:webHidden/>
              </w:rPr>
              <w:fldChar w:fldCharType="separate"/>
            </w:r>
            <w:r>
              <w:rPr>
                <w:noProof/>
                <w:webHidden/>
              </w:rPr>
              <w:t>1</w:t>
            </w:r>
            <w:r>
              <w:rPr>
                <w:noProof/>
                <w:webHidden/>
              </w:rPr>
              <w:fldChar w:fldCharType="end"/>
            </w:r>
          </w:hyperlink>
        </w:p>
        <w:p>
          <w:pPr>
            <w:pStyle w:val="TOC2"/>
          </w:pPr>
          <w:hyperlink w:anchor="_Toc000000011" w:history="1">
            <w:r>
              <w:rPr>
                <w:rStyle w:val="Hyperlink"/>
                <w:rFonts w:ascii="Calibri" w:hAnsi="Calibri" w:cs="Calibri"/>
                <w:noProof/>
              </w:rPr>
              <w:t>3.3  Complaints Breakdown (10 cases — 90.9%)</w:t>
            </w:r>
            <w:r>
              <w:rPr>
                <w:noProof/>
                <w:webHidden/>
              </w:rPr>
              <w:tab/>
            </w:r>
            <w:r>
              <w:fldChar w:fldCharType="begin"/>
            </w:r>
            <w:r>
              <w:instrText xml:space="preserve"> PAGEREF _Toc000000011 \h </w:instrText>
            </w:r>
            <w:r>
              <w:rPr>
                <w:noProof/>
                <w:webHidden/>
              </w:rPr>
              <w:fldChar w:fldCharType="separate"/>
            </w:r>
            <w:r>
              <w:rPr>
                <w:noProof/>
                <w:webHidden/>
              </w:rPr>
              <w:t>1</w:t>
            </w:r>
            <w:r>
              <w:rPr>
                <w:noProof/>
                <w:webHidden/>
              </w:rPr>
              <w:fldChar w:fldCharType="end"/>
            </w:r>
          </w:hyperlink>
        </w:p>
        <w:p>
          <w:pPr>
            <w:pStyle w:val="TOC2"/>
          </w:pPr>
          <w:hyperlink w:anchor="_Toc000000012" w:history="1">
            <w:r>
              <w:rPr>
                <w:rStyle w:val="Hyperlink"/>
                <w:rFonts w:ascii="Calibri" w:hAnsi="Calibri" w:cs="Calibri"/>
                <w:noProof/>
              </w:rPr>
              <w:t>3.4  Service Requests and Inquiries Breakdown</w:t>
            </w:r>
            <w:r>
              <w:rPr>
                <w:noProof/>
                <w:webHidden/>
              </w:rPr>
              <w:tab/>
            </w:r>
            <w:r>
              <w:fldChar w:fldCharType="begin"/>
            </w:r>
            <w:r>
              <w:instrText xml:space="preserve"> PAGEREF _Toc000000012 \h </w:instrText>
            </w:r>
            <w:r>
              <w:rPr>
                <w:noProof/>
                <w:webHidden/>
              </w:rPr>
              <w:fldChar w:fldCharType="separate"/>
            </w:r>
            <w:r>
              <w:rPr>
                <w:noProof/>
                <w:webHidden/>
              </w:rPr>
              <w:t>1</w:t>
            </w:r>
            <w:r>
              <w:rPr>
                <w:noProof/>
                <w:webHidden/>
              </w:rPr>
              <w:fldChar w:fldCharType="end"/>
            </w:r>
          </w:hyperlink>
        </w:p>
        <w:p>
          <w:pPr>
            <w:pStyle w:val="TOC2"/>
          </w:pPr>
          <w:hyperlink w:anchor="_Toc000000013" w:history="1">
            <w:r>
              <w:rPr>
                <w:rStyle w:val="Hyperlink"/>
                <w:rFonts w:ascii="Calibri" w:hAnsi="Calibri" w:cs="Calibri"/>
                <w:noProof/>
              </w:rPr>
              <w:t>3.5  Recurring Inquiries</w:t>
            </w:r>
            <w:r>
              <w:rPr>
                <w:noProof/>
                <w:webHidden/>
              </w:rPr>
              <w:tab/>
            </w:r>
            <w:r>
              <w:fldChar w:fldCharType="begin"/>
            </w:r>
            <w:r>
              <w:instrText xml:space="preserve"> PAGEREF _Toc000000013 \h </w:instrText>
            </w:r>
            <w:r>
              <w:rPr>
                <w:noProof/>
                <w:webHidden/>
              </w:rPr>
              <w:fldChar w:fldCharType="separate"/>
            </w:r>
            <w:r>
              <w:rPr>
                <w:noProof/>
                <w:webHidden/>
              </w:rPr>
              <w:t>1</w:t>
            </w:r>
            <w:r>
              <w:rPr>
                <w:noProof/>
                <w:webHidden/>
              </w:rPr>
              <w:fldChar w:fldCharType="end"/>
            </w:r>
          </w:hyperlink>
        </w:p>
        <w:p>
          <w:pPr>
            <w:pStyle w:val="TOC1"/>
          </w:pPr>
          <w:hyperlink w:anchor="_Toc000000014" w:history="1">
            <w:r>
              <w:rPr>
                <w:rStyle w:val="Hyperlink"/>
                <w:rFonts w:ascii="Calibri" w:hAnsi="Calibri" w:cs="Calibri"/>
                <w:noProof/>
              </w:rPr>
              <w:t>Fourth: Second Analysis — Customer Journey Challenges</w:t>
            </w:r>
            <w:r>
              <w:rPr>
                <w:noProof/>
                <w:webHidden/>
              </w:rPr>
              <w:tab/>
            </w:r>
            <w:r>
              <w:fldChar w:fldCharType="begin"/>
            </w:r>
            <w:r>
              <w:instrText xml:space="preserve"> PAGEREF _Toc000000014 \h </w:instrText>
            </w:r>
            <w:r>
              <w:rPr>
                <w:noProof/>
                <w:webHidden/>
              </w:rPr>
              <w:fldChar w:fldCharType="separate"/>
            </w:r>
            <w:r>
              <w:rPr>
                <w:noProof/>
                <w:webHidden/>
              </w:rPr>
              <w:t>1</w:t>
            </w:r>
            <w:r>
              <w:rPr>
                <w:noProof/>
                <w:webHidden/>
              </w:rPr>
              <w:fldChar w:fldCharType="end"/>
            </w:r>
          </w:hyperlink>
        </w:p>
        <w:p>
          <w:pPr>
            <w:pStyle w:val="TOC1"/>
          </w:pPr>
          <w:hyperlink w:anchor="_Toc000000015" w:history="1">
            <w:r>
              <w:rPr>
                <w:rStyle w:val="Hyperlink"/>
                <w:rFonts w:ascii="Calibri" w:hAnsi="Calibri" w:cs="Calibri"/>
                <w:noProof/>
              </w:rPr>
              <w:t>Fifth: Third Analysis — Digital Gaps Analysis</w:t>
            </w:r>
            <w:r>
              <w:rPr>
                <w:noProof/>
                <w:webHidden/>
              </w:rPr>
              <w:tab/>
            </w:r>
            <w:r>
              <w:fldChar w:fldCharType="begin"/>
            </w:r>
            <w:r>
              <w:instrText xml:space="preserve"> PAGEREF _Toc000000015 \h </w:instrText>
            </w:r>
            <w:r>
              <w:rPr>
                <w:noProof/>
                <w:webHidden/>
              </w:rPr>
              <w:fldChar w:fldCharType="separate"/>
            </w:r>
            <w:r>
              <w:rPr>
                <w:noProof/>
                <w:webHidden/>
              </w:rPr>
              <w:t>1</w:t>
            </w:r>
            <w:r>
              <w:rPr>
                <w:noProof/>
                <w:webHidden/>
              </w:rPr>
              <w:fldChar w:fldCharType="end"/>
            </w:r>
          </w:hyperlink>
        </w:p>
        <w:p>
          <w:pPr>
            <w:pStyle w:val="TOC2"/>
          </w:pPr>
          <w:hyperlink w:anchor="_Toc000000016" w:history="1">
            <w:r>
              <w:rPr>
                <w:rStyle w:val="Hyperlink"/>
                <w:rFonts w:ascii="Calibri" w:hAnsi="Calibri" w:cs="Calibri"/>
                <w:noProof/>
              </w:rPr>
              <w:t>5.1  Consolidated Gaps Table</w:t>
            </w:r>
            <w:r>
              <w:rPr>
                <w:noProof/>
                <w:webHidden/>
              </w:rPr>
              <w:tab/>
            </w:r>
            <w:r>
              <w:fldChar w:fldCharType="begin"/>
            </w:r>
            <w:r>
              <w:instrText xml:space="preserve"> PAGEREF _Toc000000016 \h </w:instrText>
            </w:r>
            <w:r>
              <w:rPr>
                <w:noProof/>
                <w:webHidden/>
              </w:rPr>
              <w:fldChar w:fldCharType="separate"/>
            </w:r>
            <w:r>
              <w:rPr>
                <w:noProof/>
                <w:webHidden/>
              </w:rPr>
              <w:t>1</w:t>
            </w:r>
            <w:r>
              <w:rPr>
                <w:noProof/>
                <w:webHidden/>
              </w:rPr>
              <w:fldChar w:fldCharType="end"/>
            </w:r>
          </w:hyperlink>
        </w:p>
        <w:p>
          <w:pPr>
            <w:pStyle w:val="TOC2"/>
          </w:pPr>
          <w:hyperlink w:anchor="_Toc000000017" w:history="1">
            <w:r>
              <w:rPr>
                <w:rStyle w:val="Hyperlink"/>
                <w:rFonts w:ascii="Calibri" w:hAnsi="Calibri" w:cs="Calibri"/>
                <w:noProof/>
              </w:rPr>
              <w:t>5.2  Root Causes of Continued Issues</w:t>
            </w:r>
            <w:r>
              <w:rPr>
                <w:noProof/>
                <w:webHidden/>
              </w:rPr>
              <w:tab/>
            </w:r>
            <w:r>
              <w:fldChar w:fldCharType="begin"/>
            </w:r>
            <w:r>
              <w:instrText xml:space="preserve"> PAGEREF _Toc000000017 \h </w:instrText>
            </w:r>
            <w:r>
              <w:rPr>
                <w:noProof/>
                <w:webHidden/>
              </w:rPr>
              <w:fldChar w:fldCharType="separate"/>
            </w:r>
            <w:r>
              <w:rPr>
                <w:noProof/>
                <w:webHidden/>
              </w:rPr>
              <w:t>1</w:t>
            </w:r>
            <w:r>
              <w:rPr>
                <w:noProof/>
                <w:webHidden/>
              </w:rPr>
              <w:fldChar w:fldCharType="end"/>
            </w:r>
          </w:hyperlink>
        </w:p>
        <w:p>
          <w:pPr>
            <w:pStyle w:val="TOC1"/>
          </w:pPr>
          <w:hyperlink w:anchor="_Toc000000018" w:history="1">
            <w:r>
              <w:rPr>
                <w:rStyle w:val="Hyperlink"/>
                <w:rFonts w:ascii="Calibri" w:hAnsi="Calibri" w:cs="Calibri"/>
                <w:noProof/>
              </w:rPr>
              <w:t>Sixth: Fourth Analysis — Digital Transformation Plan</w:t>
            </w:r>
            <w:r>
              <w:rPr>
                <w:noProof/>
                <w:webHidden/>
              </w:rPr>
              <w:tab/>
            </w:r>
            <w:r>
              <w:fldChar w:fldCharType="begin"/>
            </w:r>
            <w:r>
              <w:instrText xml:space="preserve"> PAGEREF _Toc000000018 \h </w:instrText>
            </w:r>
            <w:r>
              <w:rPr>
                <w:noProof/>
                <w:webHidden/>
              </w:rPr>
              <w:fldChar w:fldCharType="separate"/>
            </w:r>
            <w:r>
              <w:rPr>
                <w:noProof/>
                <w:webHidden/>
              </w:rPr>
              <w:t>1</w:t>
            </w:r>
            <w:r>
              <w:rPr>
                <w:noProof/>
                <w:webHidden/>
              </w:rPr>
              <w:fldChar w:fldCharType="end"/>
            </w:r>
          </w:hyperlink>
        </w:p>
        <w:p>
          <w:pPr>
            <w:pStyle w:val="TOC2"/>
          </w:pPr>
          <w:hyperlink w:anchor="_Toc000000019" w:history="1">
            <w:r>
              <w:rPr>
                <w:rStyle w:val="Hyperlink"/>
                <w:rFonts w:ascii="Calibri" w:hAnsi="Calibri" w:cs="Calibri"/>
                <w:noProof/>
              </w:rPr>
              <w:t>6.1  Priority Frequently Asked Questions</w:t>
            </w:r>
            <w:r>
              <w:rPr>
                <w:noProof/>
                <w:webHidden/>
              </w:rPr>
              <w:tab/>
            </w:r>
            <w:r>
              <w:fldChar w:fldCharType="begin"/>
            </w:r>
            <w:r>
              <w:instrText xml:space="preserve"> PAGEREF _Toc000000019 \h </w:instrText>
            </w:r>
            <w:r>
              <w:rPr>
                <w:noProof/>
                <w:webHidden/>
              </w:rPr>
              <w:fldChar w:fldCharType="separate"/>
            </w:r>
            <w:r>
              <w:rPr>
                <w:noProof/>
                <w:webHidden/>
              </w:rPr>
              <w:t>1</w:t>
            </w:r>
            <w:r>
              <w:rPr>
                <w:noProof/>
                <w:webHidden/>
              </w:rPr>
              <w:fldChar w:fldCharType="end"/>
            </w:r>
          </w:hyperlink>
        </w:p>
        <w:p>
          <w:pPr>
            <w:pStyle w:val="TOC2"/>
          </w:pPr>
          <w:hyperlink w:anchor="_Toc000000020" w:history="1">
            <w:r>
              <w:rPr>
                <w:rStyle w:val="Hyperlink"/>
                <w:rFonts w:ascii="Calibri" w:hAnsi="Calibri" w:cs="Calibri"/>
                <w:noProof/>
              </w:rPr>
              <w:t>6.2  Pathway to Eliminating 4+ Contact Cases Through Proactive Notification</w:t>
            </w:r>
            <w:r>
              <w:rPr>
                <w:noProof/>
                <w:webHidden/>
              </w:rPr>
              <w:tab/>
            </w:r>
            <w:r>
              <w:fldChar w:fldCharType="begin"/>
            </w:r>
            <w:r>
              <w:instrText xml:space="preserve"> PAGEREF _Toc000000020 \h </w:instrText>
            </w:r>
            <w:r>
              <w:rPr>
                <w:noProof/>
                <w:webHidden/>
              </w:rPr>
              <w:fldChar w:fldCharType="separate"/>
            </w:r>
            <w:r>
              <w:rPr>
                <w:noProof/>
                <w:webHidden/>
              </w:rPr>
              <w:t>1</w:t>
            </w:r>
            <w:r>
              <w:rPr>
                <w:noProof/>
                <w:webHidden/>
              </w:rPr>
              <w:fldChar w:fldCharType="end"/>
            </w:r>
          </w:hyperlink>
        </w:p>
        <w:p>
          <w:pPr>
            <w:pStyle w:val="TOC1"/>
          </w:pPr>
          <w:hyperlink w:anchor="_Toc000000021" w:history="1">
            <w:r>
              <w:rPr>
                <w:rStyle w:val="Hyperlink"/>
                <w:rFonts w:ascii="Calibri" w:hAnsi="Calibri" w:cs="Calibri"/>
                <w:noProof/>
              </w:rPr>
              <w:t>Seventh: AI-Powered Use Cases</w:t>
            </w:r>
            <w:r>
              <w:rPr>
                <w:noProof/>
                <w:webHidden/>
              </w:rPr>
              <w:tab/>
            </w:r>
            <w:r>
              <w:fldChar w:fldCharType="begin"/>
            </w:r>
            <w:r>
              <w:instrText xml:space="preserve"> PAGEREF _Toc000000021 \h </w:instrText>
            </w:r>
            <w:r>
              <w:rPr>
                <w:noProof/>
                <w:webHidden/>
              </w:rPr>
              <w:fldChar w:fldCharType="separate"/>
            </w:r>
            <w:r>
              <w:rPr>
                <w:noProof/>
                <w:webHidden/>
              </w:rPr>
              <w:t>1</w:t>
            </w:r>
            <w:r>
              <w:rPr>
                <w:noProof/>
                <w:webHidden/>
              </w:rPr>
              <w:fldChar w:fldCharType="end"/>
            </w:r>
          </w:hyperlink>
        </w:p>
        <w:p>
          <w:pPr>
            <w:pStyle w:val="TOC1"/>
          </w:pPr>
          <w:hyperlink w:anchor="_Toc000000022" w:history="1">
            <w:r>
              <w:rPr>
                <w:rStyle w:val="Hyperlink"/>
                <w:rFonts w:ascii="Calibri" w:hAnsi="Calibri" w:cs="Calibri"/>
                <w:noProof/>
              </w:rPr>
              <w:t>Eighth: Proposed Improvement Roadmap</w:t>
            </w:r>
            <w:r>
              <w:rPr>
                <w:noProof/>
                <w:webHidden/>
              </w:rPr>
              <w:tab/>
            </w:r>
            <w:r>
              <w:fldChar w:fldCharType="begin"/>
            </w:r>
            <w:r>
              <w:instrText xml:space="preserve"> PAGEREF _Toc000000022 \h </w:instrText>
            </w:r>
            <w:r>
              <w:rPr>
                <w:noProof/>
                <w:webHidden/>
              </w:rPr>
              <w:fldChar w:fldCharType="separate"/>
            </w:r>
            <w:r>
              <w:rPr>
                <w:noProof/>
                <w:webHidden/>
              </w:rPr>
              <w:t>1</w:t>
            </w:r>
            <w:r>
              <w:rPr>
                <w:noProof/>
                <w:webHidden/>
              </w:rPr>
              <w:fldChar w:fldCharType="end"/>
            </w:r>
          </w:hyperlink>
        </w:p>
        <w:p>
          <w:pPr>
            <w:pStyle w:val="TOC1"/>
          </w:pPr>
          <w:hyperlink w:anchor="_Toc000000023" w:history="1">
            <w:r>
              <w:rPr>
                <w:rStyle w:val="Hyperlink"/>
                <w:rFonts w:ascii="Calibri" w:hAnsi="Calibri" w:cs="Calibri"/>
                <w:noProof/>
              </w:rPr>
              <w:t>Ninth: Conclusion — From Data to Decision</w:t>
            </w:r>
            <w:r>
              <w:rPr>
                <w:noProof/>
                <w:webHidden/>
              </w:rPr>
              <w:tab/>
            </w:r>
            <w:r>
              <w:fldChar w:fldCharType="begin"/>
            </w:r>
            <w:r>
              <w:instrText xml:space="preserve"> PAGEREF _Toc000000023 \h </w:instrText>
            </w:r>
            <w:r>
              <w:rPr>
                <w:noProof/>
                <w:webHidden/>
              </w:rPr>
              <w:fldChar w:fldCharType="separate"/>
            </w:r>
            <w:r>
              <w:rPr>
                <w:noProof/>
                <w:webHidden/>
              </w:rPr>
              <w:t>1</w:t>
            </w:r>
            <w:r>
              <w:rPr>
                <w:noProof/>
                <w:webHidden/>
              </w:rPr>
              <w:fldChar w:fldCharType="end"/>
            </w:r>
          </w:hyperlink>
        </w:p>
        <w:p>
          <w:pPr>
            <w:pStyle w:val="TOC2"/>
          </w:pPr>
          <w:hyperlink w:anchor="_Toc000000024" w:history="1">
            <w:r>
              <w:rPr>
                <w:rStyle w:val="Hyperlink"/>
                <w:rFonts w:ascii="Calibri" w:hAnsi="Calibri" w:cs="Calibri"/>
                <w:noProof/>
              </w:rPr>
              <w:t>Three Transformation Pillars</w:t>
            </w:r>
            <w:r>
              <w:rPr>
                <w:noProof/>
                <w:webHidden/>
              </w:rPr>
              <w:tab/>
            </w:r>
            <w:r>
              <w:fldChar w:fldCharType="begin"/>
            </w:r>
            <w:r>
              <w:instrText xml:space="preserve"> PAGEREF _Toc000000024 \h </w:instrText>
            </w:r>
            <w:r>
              <w:rPr>
                <w:noProof/>
                <w:webHidden/>
              </w:rPr>
              <w:fldChar w:fldCharType="separate"/>
            </w:r>
            <w:r>
              <w:rPr>
                <w:noProof/>
                <w:webHidden/>
              </w:rPr>
              <w:t>1</w:t>
            </w:r>
            <w:r>
              <w:rPr>
                <w:noProof/>
                <w:webHidden/>
              </w:rPr>
              <w:fldChar w:fldCharType="end"/>
            </w:r>
          </w:hyperlink>
        </w:p>
        <w:p>
          <w:pPr>
            <w:pStyle w:val="TOC2"/>
          </w:pPr>
          <w:hyperlink w:anchor="_Toc000000025" w:history="1">
            <w:r>
              <w:rPr>
                <w:rStyle w:val="Hyperlink"/>
                <w:rFonts w:ascii="Calibri" w:hAnsi="Calibri" w:cs="Calibri"/>
                <w:noProof/>
              </w:rPr>
              <w:t>Expected Aggregate Impact:</w:t>
            </w:r>
            <w:r>
              <w:rPr>
                <w:noProof/>
                <w:webHidden/>
              </w:rPr>
              <w:tab/>
            </w:r>
            <w:r>
              <w:fldChar w:fldCharType="begin"/>
            </w:r>
            <w:r>
              <w:instrText xml:space="preserve"> PAGEREF _Toc000000025 \h </w:instrText>
            </w:r>
            <w:r>
              <w:rPr>
                <w:noProof/>
                <w:webHidden/>
              </w:rPr>
              <w:fldChar w:fldCharType="separate"/>
            </w:r>
            <w:r>
              <w:rPr>
                <w:noProof/>
                <w:webHidden/>
              </w:rPr>
              <w:t>1</w:t>
            </w:r>
            <w:r>
              <w:rPr>
                <w:noProof/>
                <w:webHidden/>
              </w:rPr>
              <w:fldChar w:fldCharType="end"/>
            </w:r>
          </w:hyperlink>
          <w:r>
            <w:fldChar w:fldCharType="end"/>
          </w:r>
        </w:p>
      </w:sdtContent>
    </w:sdt>
    <w:p>
      <w:r>
        <w:br w:type="page"/>
      </w:r>
    </w:p>
    <w:p>
      <w:pPr>
        <w:pStyle w:val="Heading1"/>
        <w:jc w:val="left"/>
      </w:pPr>
      <w:r>
        <w:rPr>
          <w:rFonts w:ascii="Calibri" w:hAnsi="Calibri" w:eastAsia="Calibri" w:cs="Calibri"/>
          <w:b/>
          <w:color w:val="B68A35"/>
          <w:sz w:val="32"/>
          <w:szCs w:val="32"/>
        </w:rPr>
        <w:t>First: Executive Summary — Key Analyses</w:t>
      </w:r>
      <w:bookmarkStart w:id="2" w:name="_Toc000000002"/>
      <w:bookmarkEnd w:id="2"/>
    </w:p>
    <w:p>
      <w:pPr>
        <w:spacing w:after="120"/>
        <w:jc w:val="both"/>
      </w:pPr>
      <w:r>
        <w:rPr>
          <w:rFonts w:ascii="Calibri" w:hAnsi="Calibri" w:eastAsia="Calibri" w:cs="Calibri"/>
          <w:b w:val="0"/>
          <w:i w:val="0"/>
          <w:color w:val="000000"/>
          <w:sz w:val="24"/>
          <w:szCs w:val="24"/>
          <w:u w:val="none"/>
        </w:rPr>
        <w:t>This report presents an in-depth analysis of 11 inquiry cases extracted from the Customer Relationship Management System Export, supported by a review of the Services Guide and Frequently Asked Questions, covering the period from February to July 2025. The objective is to transform raw data into actionable operational decisions rather than isolated figures. The key development: comprehensive reclassification revealed that 100.0% of cases had been incorrectly classified, and that complaints actually represent 90.9% of the total workload — meaning the system had been responding to a distorted reality rather than the actual one.</w:t>
      </w:r>
    </w:p>
    <w:p>
      <w:pPr>
        <w:pStyle w:val="Heading2"/>
        <w:jc w:val="left"/>
      </w:pPr>
      <w:r>
        <w:rPr>
          <w:rFonts w:ascii="Calibri" w:hAnsi="Calibri" w:eastAsia="Calibri" w:cs="Calibri"/>
          <w:b/>
          <w:color w:val="B68A35"/>
          <w:sz w:val="26"/>
          <w:szCs w:val="26"/>
        </w:rPr>
        <w:t>Key Findings</w:t>
      </w:r>
      <w:bookmarkStart w:id="3" w:name="_Toc000000003"/>
      <w:bookmarkEnd w:id="3"/>
    </w:p>
    <w:p>
      <w:pPr>
        <w:spacing w:after="120"/>
        <w:jc w:val="both"/>
      </w:pPr>
      <w:r>
        <w:rPr>
          <w:rFonts w:ascii="Calibri" w:hAnsi="Calibri" w:eastAsia="Calibri" w:cs="Calibri"/>
          <w:b w:val="0"/>
          <w:i w:val="0"/>
          <w:color w:val="000000"/>
          <w:sz w:val="24"/>
          <w:szCs w:val="24"/>
          <w:u w:val="none"/>
        </w:rPr>
        <w:t>The core message: the simultaneous occurrence of a 100.0% misclassification rate, 5 documented friction points, and a complete absence of on-time closure reveals a systemic failure in the response framework, not merely isolated gaps that can be overlooked. Addressing these gaps opens the way to converting 10 recurring complaints into proactive opportunities by activating automated notifications across 3 key areas and raising the guide's coverage above its current average of 20.0%. Adopting a strategy built on corrected rather than assumed data is the true lever that will transform customer service from a reactive model to a proactive and preventive one.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Finding</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Description</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Importance Level</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100.0% Inaccurate Classification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All 11 out of 11 cases were originally classified incorrectly. This gap forms the basis of the operational challenges identified in this analysis.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Complaints Dominate at 90.9% of Workload</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 out of 11 cases were complaints after reclassification. This concentration reflects the primary focus area for operational improvement.</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Single Friction Point: Data not appearing or not being updated in the system after completing the procedure (3 cases, 27.3%)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This point affects 3 cases (27.3% of the total). Root cause: technical platform malfunction.</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Two Friction Points — Missing Information from the Guide (3 cases)</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Two friction points share a common root cause: recording a traffic violation against a vehicle number or person unrelated to the violation without attaching a clear photograph or a self-correction mechanism; and the absence of an official channel for reporting infrastructure issues such as placement of barriers in residential areas. Total affected cases: 3. Improving this cluster will contribute significantly to reducing friction.</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0.0% On-Time Closure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 out of 11 cases were closed on time (rate of 0.0%). This demonstrates operational capacity, but does not address the structural gaps in accuracy and comprehension.</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Positive</w:t>
            </w:r>
          </w:p>
        </w:tc>
      </w:tr>
    </w:tbl>
    <w:p/>
    <w:p>
      <w:pPr>
        <w:pStyle w:val="Heading1"/>
        <w:jc w:val="left"/>
      </w:pPr>
      <w:r>
        <w:rPr>
          <w:rFonts w:ascii="Calibri" w:hAnsi="Calibri" w:eastAsia="Calibri" w:cs="Calibri"/>
          <w:b/>
          <w:color w:val="B68A35"/>
          <w:sz w:val="32"/>
          <w:szCs w:val="32"/>
        </w:rPr>
        <w:t>Second: Methodology and Nature of Sources</w:t>
      </w:r>
      <w:bookmarkStart w:id="4" w:name="_Toc000000004"/>
      <w:bookmarkEnd w:id="4"/>
    </w:p>
    <w:p>
      <w:pPr>
        <w:pStyle w:val="Heading2"/>
        <w:jc w:val="left"/>
      </w:pPr>
      <w:r>
        <w:rPr>
          <w:rFonts w:ascii="Calibri" w:hAnsi="Calibri" w:eastAsia="Calibri" w:cs="Calibri"/>
          <w:b/>
          <w:color w:val="B68A35"/>
          <w:sz w:val="26"/>
          <w:szCs w:val="26"/>
        </w:rPr>
        <w:t>2.1  Analysed Sources</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Source</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Nature</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Volume</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Period</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 Analysis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CRM data — unstructured text (case details, resolutions, service names, case description)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11 closed cases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February - July 2025</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 Services Guide</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Covers traffic and licensing services, police services, punitive and reform institution services, operations management, proactive services, and 2 more, with FAQ verification and gap analysis</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160 pages, 4 verified questions</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2025</w:t>
            </w:r>
          </w:p>
        </w:tc>
      </w:tr>
    </w:tbl>
    <w:p/>
    <w:p>
      <w:pPr>
        <w:pStyle w:val="Heading2"/>
        <w:jc w:val="left"/>
      </w:pPr>
      <w:r>
        <w:rPr>
          <w:rFonts w:ascii="Calibri" w:hAnsi="Calibri" w:eastAsia="Calibri" w:cs="Calibri"/>
          <w:b/>
          <w:color w:val="B68A35"/>
          <w:sz w:val="26"/>
          <w:szCs w:val="26"/>
        </w:rPr>
        <w:t>2.2  Classification Methodology</w:t>
      </w:r>
      <w:bookmarkStart w:id="6" w:name="_Toc000000006"/>
      <w:bookmarkEnd w:id="6"/>
    </w:p>
    <w:p>
      <w:pPr>
        <w:spacing w:after="120"/>
        <w:jc w:val="both"/>
      </w:pPr>
      <w:r>
        <w:rPr>
          <w:rFonts w:ascii="Calibri" w:hAnsi="Calibri" w:eastAsia="Calibri" w:cs="Calibri"/>
          <w:b w:val="0"/>
          <w:i w:val="0"/>
          <w:color w:val="000000"/>
          <w:sz w:val="24"/>
          <w:szCs w:val="24"/>
          <w:u w:val="none"/>
        </w:rPr>
        <w:t>The analysis employs a four-level decision tree in which the nature of the request — not the wording — is the decisive criterion. Each case is subjected to two sequential tests: (1) First Test: Does the text express dissatisfaction, report a failure, or express a desire to file a formal complaint or objection? (2) Second Test: Does the text request the execution of a specific action — such as delivering a service, following up on a request, or amending data — rather than merely obtaining information?</w:t>
      </w:r>
    </w:p>
    <w:p>
      <w:pPr>
        <w:spacing w:after="120"/>
        <w:jc w:val="both"/>
      </w:pPr>
      <w:r>
        <w:rPr>
          <w:rFonts w:ascii="Calibri" w:hAnsi="Calibri" w:eastAsia="Calibri" w:cs="Calibri"/>
          <w:b w:val="0"/>
          <w:i w:val="0"/>
          <w:color w:val="000000"/>
          <w:sz w:val="24"/>
          <w:szCs w:val="24"/>
          <w:u w:val="none"/>
        </w:rPr>
        <w:t>Classification rules:</w:t>
      </w:r>
    </w:p>
    <w:p>
      <w:pPr>
        <w:spacing w:after="120"/>
        <w:jc w:val="both"/>
      </w:pPr>
      <w:r>
        <w:rPr>
          <w:rFonts w:ascii="Calibri" w:hAnsi="Calibri" w:eastAsia="Calibri" w:cs="Calibri"/>
          <w:b w:val="0"/>
          <w:i w:val="0"/>
          <w:color w:val="000000"/>
          <w:sz w:val="24"/>
          <w:szCs w:val="24"/>
          <w:u w:val="none"/>
        </w:rPr>
        <w:t>→ If the answer to the first is yes: Complaint (even if the text also contains a request for action);</w:t>
      </w:r>
    </w:p>
    <w:p>
      <w:pPr>
        <w:spacing w:after="120"/>
        <w:jc w:val="both"/>
      </w:pPr>
      <w:r>
        <w:rPr>
          <w:rFonts w:ascii="Calibri" w:hAnsi="Calibri" w:eastAsia="Calibri" w:cs="Calibri"/>
          <w:b w:val="0"/>
          <w:i w:val="0"/>
          <w:color w:val="000000"/>
          <w:sz w:val="24"/>
          <w:szCs w:val="24"/>
          <w:u w:val="none"/>
        </w:rPr>
        <w:t>→ If the answer to the second only is yes: Request (without the purpose being to report a problem);</w:t>
      </w:r>
    </w:p>
    <w:p>
      <w:pPr>
        <w:spacing w:after="120"/>
        <w:jc w:val="both"/>
      </w:pPr>
      <w:r>
        <w:rPr>
          <w:rFonts w:ascii="Calibri" w:hAnsi="Calibri" w:eastAsia="Calibri" w:cs="Calibri"/>
          <w:b w:val="0"/>
          <w:i w:val="0"/>
          <w:color w:val="000000"/>
          <w:sz w:val="24"/>
          <w:szCs w:val="24"/>
          <w:u w:val="none"/>
        </w:rPr>
        <w:t>→ If the purpose is a question or an enquiry about information: Inquiry;</w:t>
      </w:r>
    </w:p>
    <w:p>
      <w:pPr>
        <w:spacing w:after="120"/>
        <w:jc w:val="both"/>
      </w:pPr>
      <w:r>
        <w:rPr>
          <w:rFonts w:ascii="Calibri" w:hAnsi="Calibri" w:eastAsia="Calibri" w:cs="Calibri"/>
          <w:b w:val="0"/>
          <w:i w:val="0"/>
          <w:color w:val="000000"/>
          <w:sz w:val="24"/>
          <w:szCs w:val="24"/>
          <w:u w:val="none"/>
        </w:rPr>
        <w:t>→ If the expression conveys satisfaction and praise: Compliment.</w:t>
      </w:r>
    </w:p>
    <w:p>
      <w:pPr>
        <w:pStyle w:val="Heading2"/>
        <w:jc w:val="left"/>
      </w:pPr>
      <w:r>
        <w:rPr>
          <w:rFonts w:ascii="Calibri" w:hAnsi="Calibri" w:eastAsia="Calibri" w:cs="Calibri"/>
          <w:b/>
          <w:color w:val="B68A35"/>
          <w:sz w:val="26"/>
          <w:szCs w:val="26"/>
        </w:rPr>
        <w:t>2.3  Analysed Fields</w:t>
      </w:r>
      <w:bookmarkStart w:id="7" w:name="_Toc000000007"/>
      <w:bookmarkEnd w:id="7"/>
    </w:p>
    <w:p>
      <w:pPr>
        <w:spacing w:after="120"/>
        <w:jc w:val="both"/>
      </w:pPr>
      <w:r>
        <w:rPr>
          <w:rFonts w:ascii="Calibri" w:hAnsi="Calibri" w:eastAsia="Calibri" w:cs="Calibri"/>
          <w:b w:val="0"/>
          <w:i w:val="0"/>
          <w:color w:val="000000"/>
          <w:sz w:val="24"/>
          <w:szCs w:val="24"/>
          <w:u w:val="none"/>
        </w:rPr>
        <w:t>Structured fields used in the analysis: request number, main service, original call type, request status, communication channel, nationality, and the competent department. Unstructured fields — the focus of this analysis: request details and processing response. These two fields reveal the true nature of each case beyond the formal classification recorded in the system.</w:t>
      </w:r>
    </w:p>
    <w:p>
      <w:pPr>
        <w:pStyle w:val="Heading1"/>
        <w:jc w:val="left"/>
      </w:pPr>
      <w:r>
        <w:rPr>
          <w:rFonts w:ascii="Calibri" w:hAnsi="Calibri" w:eastAsia="Calibri" w:cs="Calibri"/>
          <w:b/>
          <w:color w:val="B68A35"/>
          <w:sz w:val="32"/>
          <w:szCs w:val="32"/>
        </w:rPr>
        <w:t>Third: First Analysis — Contact Type Classification Map</w:t>
      </w:r>
      <w:bookmarkStart w:id="8" w:name="_Toc000000008"/>
      <w:bookmarkEnd w:id="8"/>
    </w:p>
    <w:p>
      <w:pPr>
        <w:pStyle w:val="Heading2"/>
        <w:jc w:val="left"/>
      </w:pPr>
      <w:r>
        <w:rPr>
          <w:rFonts w:ascii="Calibri" w:hAnsi="Calibri" w:eastAsia="Calibri" w:cs="Calibri"/>
          <w:b/>
          <w:color w:val="B68A35"/>
          <w:sz w:val="26"/>
          <w:szCs w:val="26"/>
        </w:rPr>
        <w:t>3.1  Actual Contact Type Distribution</w:t>
      </w:r>
      <w:bookmarkStart w:id="9" w:name="_Toc000000009"/>
      <w:bookmarkEnd w:id="9"/>
    </w:p>
    <w:p>
      <w:pPr>
        <w:spacing w:after="120"/>
        <w:jc w:val="both"/>
      </w:pPr>
      <w:r>
        <w:rPr>
          <w:rFonts w:ascii="Calibri" w:hAnsi="Calibri" w:eastAsia="Calibri" w:cs="Calibri"/>
          <w:b w:val="0"/>
          <w:i w:val="0"/>
          <w:color w:val="000000"/>
          <w:sz w:val="24"/>
          <w:szCs w:val="24"/>
          <w:u w:val="none"/>
        </w:rPr>
        <w:t>Analysis of 11 closed cases in February - July 2025 reveals that accurate classification of the actual content of each contact produces a picture fundamentally different from what the Customer Relationship Management System recorded in the initial phase. The key shift: the true dominant category is 'Complaint' with 10 cases representing 90.9% of total contacts, compared to 10 cases originally recorded under 'Inquiry' prior to reclassification.</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Contact Type</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Classification Change</w:t>
            </w:r>
          </w:p>
        </w:tc>
        <w:tc>
          <w:tcPr>
            <w:tcW w:type="dxa" w:w="1872"/>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Digital Transferability</w:t>
            </w:r>
          </w:p>
        </w:tc>
      </w:tr>
      <w:tr>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90.9%</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 (was zero in the original file)</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Dedicated digital pathway — complaints portal / report tracking in the app</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Request</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0.0%</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No change</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Requires a staff member with system access</w:t>
            </w:r>
          </w:p>
        </w:tc>
      </w:tr>
      <w:tr>
        <w:tc>
          <w:tcPr>
            <w:tcW w:type="dxa" w:w="1872"/>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0.0%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 from original</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Full transfer — chatbot / FAQ / IVR / website</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Compliment</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9.1%</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 (was zero in the original file)</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Automatic documentation — no action required</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pStyle w:val="Heading2"/>
        <w:jc w:val="left"/>
      </w:pPr>
      <w:r>
        <w:rPr>
          <w:rFonts w:ascii="Calibri" w:hAnsi="Calibri" w:eastAsia="Calibri" w:cs="Calibri"/>
          <w:b/>
          <w:color w:val="B68A35"/>
          <w:sz w:val="26"/>
          <w:szCs w:val="26"/>
        </w:rPr>
        <w:t>3.2  Classification Accuracy — 100.0% of Cases Reclassified</w:t>
      </w:r>
      <w:bookmarkStart w:id="10" w:name="_Toc000000010"/>
      <w:bookmarkEnd w:id="10"/>
    </w:p>
    <w:p>
      <w:pPr>
        <w:spacing w:after="120"/>
        <w:jc w:val="both"/>
      </w:pPr>
      <w:r>
        <w:rPr>
          <w:rFonts w:ascii="Calibri" w:hAnsi="Calibri" w:eastAsia="Calibri" w:cs="Calibri"/>
          <w:b w:val="0"/>
          <w:i w:val="0"/>
          <w:color w:val="000000"/>
          <w:sz w:val="24"/>
          <w:szCs w:val="24"/>
          <w:u w:val="none"/>
        </w:rPr>
        <w:t>Critical finding: 10 out of 11 cases had been classified in the CRM system under 'Inquiry', whereas full-text analysis of each case proves that they carry explicit complaint or compliment content; the total number of reclassified cases reached 11, representing a reclassification rate of 100.0%. This discrepancy does not reflect an error on the part of the staff member, as the reception channel label in the system reflects the nature of the channel or the initial communication intent rather than the actual content of the request. The complete list of all 11 cases with supporting evidence is available in the digital appendix (attached Excel file).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Request Number</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Recorded As</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Correct Classification</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Evidence from Request Details</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217099</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objection to a traffic violation</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"Regarding traffic fines recent visit to Fujairah, i request you to please check again about the traffic fines which i have received today.. while driving to Fujairah i have make sure the road speed limit and drive safe to avoid fines.. i request you to check again ticket no 6250046432 and 6250046430 i request you to please remove the fines if it is incorrect"</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225488</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"يرجى الاستعلام عن المركبات العسكرية التي يتم ادراجها على الرمز المروري الخاص بي للعلم بانني لم استلم اي مركبة عسكرية بالأرقام المسجلة على الرمز المروري الخاص بي لتفادي المخالفات والإجراءات القانونية يرجى التأكد والمتابعة  من الأشخاص المستلمين للمركبات العسكرية وافيدكم بأرقام المركبات 18499 شرطة + 19790 شرطة وصورة من المسج"</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243341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xml:space="preserve">"Hi sir </w:t>
              <w:br/>
              <w:t xml:space="preserve">I apply for pcc 2 time on moi app </w:t>
              <w:br/>
              <w:t xml:space="preserve">Payment has been deducted from my account </w:t>
              <w:br/>
              <w:t xml:space="preserve">But on app they show cancel payment </w:t>
              <w:br/>
              <w:t xml:space="preserve">Im in ind i need pcc urgent wht i can do now plz help mee plzz u can contact me on +919815328600 or u can mail me simrajeet009@gmail.com </w:t>
              <w:br/>
              <w:t>Plz urgently help me"</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216813</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 complaint about a disputed violation</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xml:space="preserve">"The traffic fine under my name is wrong and the photo which mentioned with fine is not my bike and I never  been in fujaira . Kindly remove the fine from my name. </w:t>
              <w:br/>
              <w:t>Thankyou"</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1198629</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Compliment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Compliment — general thanks and appreciation</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"تواصلن المتعامله هاله محمد سليمان عثمان لتقديم شكر وثناء لمركز شرطة تحريات المطلوبين بالفجيرة حيث تقدمت بمستند مديونيه وتم رفع الطلب للمحكمة وشرطة التحريات بالفجيرة وتم عمل ضبط واحضار للشخص المطلوب وتريد تقديم كافه الشكر والتقدير للأخلاق والتعاون والترحيب والمعامله الطيبة، وتقديم شكر خاص للأخ عبد الله واستاذه أمل والنقيب يوسف بمركز الشرطة هناك حسن الضيافه والكرم والاخلاق.</w:t>
              <w:br/>
              <w:br/>
              <w:t>وشددت المتعامله على ضروره إرسال الشكر والثناء للعاملين هناك وتوصيل صوتها معربه عن فرحتها الشديده وسعادتها للخدمه الممتازه وجبر الخواطر والوصل إلي الشخص المطلوب."</w:t>
            </w:r>
          </w:p>
        </w:tc>
      </w:tr>
    </w:tbl>
    <w:p/>
    <w:p>
      <w:pPr>
        <w:pStyle w:val="Heading2"/>
        <w:jc w:val="left"/>
      </w:pPr>
      <w:r>
        <w:rPr>
          <w:rFonts w:ascii="Calibri" w:hAnsi="Calibri" w:eastAsia="Calibri" w:cs="Calibri"/>
          <w:b/>
          <w:color w:val="B68A35"/>
          <w:sz w:val="26"/>
          <w:szCs w:val="26"/>
        </w:rPr>
        <w:t>3.3  Complaints Breakdown (10 cases — 90.9%)</w:t>
      </w:r>
      <w:bookmarkStart w:id="11" w:name="_Toc000000011"/>
      <w:bookmarkEnd w:id="11"/>
    </w:p>
    <w:p>
      <w:pPr>
        <w:spacing w:after="120"/>
        <w:jc w:val="both"/>
      </w:pPr>
      <w:r>
        <w:rPr>
          <w:rFonts w:ascii="Calibri" w:hAnsi="Calibri" w:eastAsia="Calibri" w:cs="Calibri"/>
          <w:b w:val="0"/>
          <w:i w:val="0"/>
          <w:color w:val="000000"/>
          <w:sz w:val="24"/>
          <w:szCs w:val="24"/>
          <w:u w:val="none"/>
        </w:rPr>
        <w:t>Complaints represent the hidden dominant category revealed by accurate reclassification, concentrated notably within the traffic and licensing system, whether in the form of disputed traffic violations or technical malfunctions in payment and registration platforms: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Percentage of Complaints</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Complaint about a technical or system error</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30.0%</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experienced a financial deduction from their accounts through the Ministry of Interior application without the service being completed, or received a cancellation message instead of a confirmation, prompting them to report the malfunction and request a refund or reactivation of their request.</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Objection to a traffic violation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20.0%</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contesting traffic violations they received despite complying with the prescribed speed limit, and requesting a review of the violation numbers and cancellation where found to be incorrect.</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Complaint about non-receipt of service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20.0%</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reported vehicles registered against their traffic codes that they had not actually received, or failure to receive a document they had applied for despite completing all procedures and making payment, with demands to correct the official records.</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Complaint about a disputed violation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20.0%</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received traffic violations bearing photographs of vehicles that do not belong to them, or at times when they were not in the Emirate of Fujairah, and who are demanding deletion of the violation from their records.</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General complaint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10.0%</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 customer who expressed dissatisfaction with a situation or procedure that does not fall under a specific category, and included a request for intervention to address a situation they considered a failure in the level of service provided.</w:t>
            </w:r>
          </w:p>
        </w:tc>
      </w:tr>
    </w:tbl>
    <w:p/>
    <w:p>
      <w:pPr>
        <w:pStyle w:val="Heading2"/>
        <w:jc w:val="left"/>
      </w:pPr>
      <w:r>
        <w:rPr>
          <w:rFonts w:ascii="Calibri" w:hAnsi="Calibri" w:eastAsia="Calibri" w:cs="Calibri"/>
          <w:b/>
          <w:color w:val="B68A35"/>
          <w:sz w:val="26"/>
          <w:szCs w:val="26"/>
        </w:rPr>
        <w:t>3.4  Service Requests and Inquiries Breakdown</w:t>
      </w:r>
      <w:bookmarkStart w:id="12" w:name="_Toc000000012"/>
      <w:bookmarkEnd w:id="12"/>
    </w:p>
    <w:p>
      <w:pPr>
        <w:spacing w:after="120"/>
        <w:jc w:val="both"/>
      </w:pPr>
      <w:r>
        <w:rPr>
          <w:rFonts w:ascii="Calibri" w:hAnsi="Calibri" w:eastAsia="Calibri" w:cs="Calibri"/>
          <w:b w:val="0"/>
          <w:i w:val="0"/>
          <w:color w:val="000000"/>
          <w:sz w:val="24"/>
          <w:szCs w:val="24"/>
          <w:u w:val="none"/>
        </w:rPr>
        <w:t>No direct service requests were recorded during this period — the workload was limited to complaints and inquiries.</w:t>
      </w:r>
    </w:p>
    <w:p>
      <w:pPr>
        <w:pStyle w:val="Heading2"/>
        <w:jc w:val="left"/>
      </w:pPr>
      <w:r>
        <w:rPr>
          <w:rFonts w:ascii="Calibri" w:hAnsi="Calibri" w:eastAsia="Calibri" w:cs="Calibri"/>
          <w:b/>
          <w:color w:val="B68A35"/>
          <w:sz w:val="26"/>
          <w:szCs w:val="26"/>
        </w:rPr>
        <w:t>3.5  Recurring Inquiries</w:t>
      </w:r>
      <w:bookmarkStart w:id="13" w:name="_Toc000000013"/>
      <w:bookmarkEnd w:id="13"/>
    </w:p>
    <w:p>
      <w:pPr>
        <w:spacing w:after="120"/>
        <w:jc w:val="both"/>
      </w:pPr>
      <w:r>
        <w:rPr>
          <w:rFonts w:ascii="Calibri" w:hAnsi="Calibri" w:eastAsia="Calibri" w:cs="Calibri"/>
          <w:b w:val="0"/>
          <w:i w:val="0"/>
          <w:color w:val="000000"/>
          <w:sz w:val="24"/>
          <w:szCs w:val="24"/>
          <w:u w:val="none"/>
        </w:rPr>
        <w:t>No clearly recurring inquiries were recorded during this period — the distribution was spread across a number of individual cases.</w:t>
      </w:r>
    </w:p>
    <w:p>
      <w:pPr>
        <w:pStyle w:val="Heading1"/>
        <w:jc w:val="left"/>
      </w:pPr>
      <w:r>
        <w:rPr>
          <w:rFonts w:ascii="Calibri" w:hAnsi="Calibri" w:eastAsia="Calibri" w:cs="Calibri"/>
          <w:b/>
          <w:color w:val="B68A35"/>
          <w:sz w:val="32"/>
          <w:szCs w:val="32"/>
        </w:rPr>
        <w:t>Fourth: Second Analysis — Customer Journey Challenges</w:t>
      </w:r>
      <w:bookmarkStart w:id="14" w:name="_Toc000000014"/>
      <w:bookmarkEnd w:id="14"/>
    </w:p>
    <w:p>
      <w:pPr>
        <w:spacing w:after="120"/>
        <w:jc w:val="both"/>
      </w:pPr>
      <w:r>
        <w:rPr>
          <w:rFonts w:ascii="Calibri" w:hAnsi="Calibri" w:eastAsia="Calibri" w:cs="Calibri"/>
          <w:b w:val="0"/>
          <w:i w:val="0"/>
          <w:color w:val="000000"/>
          <w:sz w:val="24"/>
          <w:szCs w:val="24"/>
          <w:u w:val="none"/>
        </w:rPr>
        <w:t>In-depth analysis of unstructured text data reveals 5 main friction points in the customer journey, each resulting from a specific identifiable root cause that can be addressed. The most acute point is 'data not appearing or not being updated in the system after completing the procedure', affecting 3 cases (27.3% of the total). A high-impact quick-win opportunity also stands out: sending an immediate notification with a photograph of the traffic violation via SMS or email — an action that addresses 2 cases equivalent to 18.2% of total cases and enables customers to verify instantly without needing to contact support. The following is a detailed breakdown of the identified friction points, their root causes, and the proposed improvement actions for each:</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Friction Point</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Cases</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Improvement Action</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Data not appearing or not being updated in the system after completing the procedure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Technical platform malfunction</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an FAQ section on data synchronisation delays, activate automatic notifications with a timestamp upon data registration, and provide a self-service transaction status enquiry tool.</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Recording a traffic violation against a vehicle number or person unrelated to the violation without attaching a clear photograph or a self-correction mechanism</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information from the guide</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Create an 'Incorrect Violation' section with an electronic self-correction form, make violation photographs available digitally, and send an SMS notification containing a link to the photograph and a quick objection option.</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Absence of a clear and easy channel to object to traffic violations without the need to contact customer service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Information exists but is difficult to access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prominent 'Object to Violation' button in the application with numbered steps and clear timelines, and extend the objection service to cover digital channels without requiring a personal visit.</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Amounts being deducted and requests automatically cancelled or incorrect data recorded without notifying the customer</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Implement mandatory automatic notifications via SMS or email for all deductions, cancellations, and data changes, add a transaction log, and define a clear service level agreement for refunds.</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Absence of an official channel for reporting infrastructure issues to the relevant authorities, such as placement of barriers in residential areas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information from the guide</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an 'Infrastructure Problem Reporting' service to the guide and application, link it to the Fujairah Municipality portal, and provide an immediate cross-referral to the competent authority.</w:t>
            </w:r>
          </w:p>
        </w:tc>
      </w:tr>
    </w:tbl>
    <w:p/>
    <w:p>
      <w:pPr>
        <w:pStyle w:val="Heading1"/>
        <w:jc w:val="left"/>
      </w:pPr>
      <w:r>
        <w:rPr>
          <w:rFonts w:ascii="Calibri" w:hAnsi="Calibri" w:eastAsia="Calibri" w:cs="Calibri"/>
          <w:b/>
          <w:color w:val="B68A35"/>
          <w:sz w:val="32"/>
          <w:szCs w:val="32"/>
        </w:rPr>
        <w:t>Fifth: Third Analysis — Digital Gaps Analysis</w:t>
      </w:r>
      <w:bookmarkStart w:id="15" w:name="_Toc000000015"/>
      <w:bookmarkEnd w:id="15"/>
    </w:p>
    <w:p>
      <w:pPr>
        <w:spacing w:after="120"/>
        <w:jc w:val="both"/>
      </w:pPr>
      <w:r>
        <w:rPr>
          <w:rFonts w:ascii="Calibri" w:hAnsi="Calibri" w:eastAsia="Calibri" w:cs="Calibri"/>
          <w:b w:val="0"/>
          <w:i w:val="0"/>
          <w:color w:val="000000"/>
          <w:sz w:val="24"/>
          <w:szCs w:val="24"/>
          <w:u w:val="none"/>
        </w:rPr>
        <w:t>Why do problems persist despite the availability of the application and website? Although 81.8% of cases were submitted through digital channels (application and website), and 50.0% of friction cases arose in a direct digital context, the problem is not the absence of digital channels but rather the absence of the correct functions within them. Four critical gaps and one high-severity gap were identified, with the largest being 'system malfunctions — data not appearing or not being updated in the system after completing the procedure' accounting for 3 cases, in addition to the potential to redirect 7 cases (63.6% of the total) through proactive SMS/email notifications without any change to the infrastructure.</w:t>
      </w:r>
    </w:p>
    <w:p>
      <w:pPr>
        <w:pStyle w:val="Heading2"/>
        <w:jc w:val="left"/>
      </w:pPr>
      <w:r>
        <w:rPr>
          <w:rFonts w:ascii="Calibri" w:hAnsi="Calibri" w:eastAsia="Calibri" w:cs="Calibri"/>
          <w:b/>
          <w:color w:val="B68A35"/>
          <w:sz w:val="26"/>
          <w:szCs w:val="26"/>
        </w:rPr>
        <w:t>5.1  Consolidated Gaps Table</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Topic</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Cases</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Severity</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Current App / Website Status</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Gap Type</w:t>
            </w:r>
          </w:p>
        </w:tc>
        <w:tc>
          <w:tcPr>
            <w:tcW w:type="dxa" w:w="156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Recommendation</w:t>
            </w:r>
          </w:p>
        </w:tc>
      </w:tr>
      <w:tr>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System malfunctions — data not appearing or not being updated in the system after completing the procedure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Neither the application nor the website includes an FAQ section on data synchronisation delays, nor is there a self-service tool to enquire about registration status or a confirmation notification after completing a procedure.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content</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an automatic SMS/email notification confirming data registration with a timestamp, and add a self-service enquiry tool and an FAQ section on synchronisation delays.</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Incorrect violations — recording a traffic violation against a vehicle number or person unrelated to the violation without attaching a clear photograph or a self-correction mechanism</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violation objection service is available at service centres only, with no provision of violation photographs or an electronic self-correction form within the application or website.</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Unclear process</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an automatic SMS/email notification upon issuance of a violation including a link to its photograph, and provide an electronic form to correct clear registration errors without requiring a personal visit.</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Violation objection — absence of a clear and easy channel to object to traffic violations without the need to contact customer service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objection service is limited to in-person attendance at service centres only, and neither the application nor the website includes a direct objection button on the violation details screen.</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Information not easily accessible</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Extend the objection service to the application and website, and add a prominent objection button on the violation details screen with numbered steps and clear timelines.</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Non-receipt of service — amounts deducted and requests automatically cancelled or incorrect data recorded without notifying the customer</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Neither the application nor the website provides a transparent log of payment and cancellation events, nor are automatic notifications sent when amounts are deducted or requests cancelled without customer intervention.</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mandatory automatic SMS/email notifications for all deductions, cancellations, and data changes, and add a transaction log in the application with a clearly defined refund service level agreement.</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Infrastructure complaints — absence of an official channel for reporting infrastructure issues to the relevant authorities, such as placement of barriers in residential areas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Neither the application nor the website includes a dedicated pathway for reporting infrastructure problems, nor is there a digital referral to the Fujairah Municipality portal.</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Missing content</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dedicated infrastructure problem reporting pathway in the application, link it to the Fujairah Municipality portal, and provide immediate cross-referral links.</w:t>
            </w:r>
          </w:p>
        </w:tc>
      </w:tr>
    </w:tbl>
    <w:p/>
    <w:p>
      <w:pPr>
        <w:pStyle w:val="Heading2"/>
        <w:jc w:val="left"/>
      </w:pPr>
      <w:r>
        <w:rPr>
          <w:rFonts w:ascii="Calibri" w:hAnsi="Calibri" w:eastAsia="Calibri" w:cs="Calibri"/>
          <w:b/>
          <w:color w:val="B68A35"/>
          <w:sz w:val="26"/>
          <w:szCs w:val="26"/>
        </w:rPr>
        <w:t>5.2  Root Causes of Continued Issues</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Example of Challenge</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Solution</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a structured technical reporting mechanism</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 cases — data not appearing or not being updated in the system after completing the procedure</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Establish a technical reporting portal within the application with an automatic SMS/email notification confirming data registration with a timestamp.</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Absence of a dedicated digital pathway</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 cases — recording a traffic violation against a vehicle number or person unrelated to the violation without attaching a clear photograph or a self-correction mechanism</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Launch an independent digital pathway for correcting violation errors, incorporating photograph display and an electronic correction form.</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Low awareness of available digital channels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 cases — absence of a clear and easy channel to object to traffic violations without the need to contact customer service</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prominent objection button on the violation screen within the application, accompanied by a digital awareness campaign on available channels.</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Weak proactive notification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 cases — amounts deducted and requests automatically cancelled or incorrect data recorded without notifying the customer</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mandatory immediate SMS/email notifications for all payment, cancellation, and data change events.</w:t>
            </w:r>
          </w:p>
        </w:tc>
      </w:tr>
    </w:tbl>
    <w:p/>
    <w:p>
      <w:pPr>
        <w:pStyle w:val="Heading1"/>
        <w:jc w:val="left"/>
      </w:pPr>
      <w:r>
        <w:rPr>
          <w:rFonts w:ascii="Calibri" w:hAnsi="Calibri" w:eastAsia="Calibri" w:cs="Calibri"/>
          <w:b/>
          <w:color w:val="B68A35"/>
          <w:sz w:val="32"/>
          <w:szCs w:val="32"/>
        </w:rPr>
        <w:t>Sixth: Fourth Analysis — Digital Transformation Plan</w:t>
      </w:r>
      <w:bookmarkStart w:id="18" w:name="_Toc000000018"/>
      <w:bookmarkEnd w:id="18"/>
    </w:p>
    <w:p>
      <w:pPr>
        <w:spacing w:after="120"/>
        <w:jc w:val="both"/>
      </w:pPr>
      <w:r>
        <w:rPr>
          <w:rFonts w:ascii="Calibri" w:hAnsi="Calibri" w:eastAsia="Calibri" w:cs="Calibri"/>
          <w:b w:val="0"/>
          <w:i w:val="0"/>
          <w:color w:val="000000"/>
          <w:sz w:val="24"/>
          <w:szCs w:val="24"/>
          <w:u w:val="none"/>
        </w:rPr>
        <w:t>This section presents four priority frequently asked questions extracted from the most recurring patterns in the text data for the period from February to July 2025, paired with a proactive notification pathway that addresses enquiries before they arise. The data indicates that at least 4 cases representing 36.4% of total cases could have been entirely prevented through a simple automated notification system without any structural change to services.</w:t>
      </w:r>
    </w:p>
    <w:p>
      <w:pPr>
        <w:pStyle w:val="Heading2"/>
        <w:jc w:val="left"/>
      </w:pPr>
      <w:r>
        <w:rPr>
          <w:rFonts w:ascii="Calibri" w:hAnsi="Calibri" w:eastAsia="Calibri" w:cs="Calibri"/>
          <w:b/>
          <w:color w:val="B68A35"/>
          <w:sz w:val="26"/>
          <w:szCs w:val="26"/>
        </w:rPr>
        <w:t>6.1  Priority Frequently Asked Questions</w:t>
      </w:r>
      <w:bookmarkStart w:id="19" w:name="_Toc000000019"/>
      <w:bookmarkEnd w:id="19"/>
    </w:p>
    <w:p>
      <w:pPr>
        <w:spacing w:after="120"/>
        <w:jc w:val="both"/>
      </w:pPr>
      <w:r>
        <w:rPr>
          <w:rFonts w:ascii="Calibri" w:hAnsi="Calibri" w:eastAsia="Calibri" w:cs="Calibri"/>
          <w:b w:val="0"/>
          <w:i w:val="0"/>
          <w:color w:val="000000"/>
          <w:sz w:val="24"/>
          <w:szCs w:val="24"/>
          <w:u w:val="none"/>
        </w:rPr>
        <w:t>These questions are extracted from the most recurring patterns in the text data.</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Question</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Suggested Answer</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Frequency</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 traffic violation has been recorded in my name for a vehicle I did not commit the violation with and do not own — how do I object?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Submit a formal objection via the MOI application through the 'Traffic Violations' section, then select 'Objection', and attach a photograph of the vehicle's licence plate or a document proving non-ownership such as a sale contract or registration certificate. The request will be referred to the competent authority for determination. The case can be followed up within the application under 'My Requests'.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purchased a special number plate but it has not appeared in the MOI application after completing the purchase — what should I do?</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Contact customer service via the MOI application or direct call, and attach the request number and electronic payment receipt. The request will be referred to the technical support team, which will work to resolve the malfunction and register the special number within 24 to 48 hours. Retain a screenshot of the receipt to expedite processing.</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1</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paid the PCC (Police Clearance Certificate) fees through MOI and the request appeared as cancelled — how do I get a refund or reactivate the request?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Submit a formal complaint via the MOI application through the 'Complaints' section, and attach the payment receipt and a screenshot of the cancelled request status. The transaction will be verified and either the PCC request will be reactivated or a full refund will be issued in accordance with the approved refund policy within 7 to 14 working days.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1</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 find military vehicles registered under my traffic code without having received them — what is the required procedure?</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Contact customer service immediately via the MOI application or direct call, and submit a formal complaint attaching the details of the incorrectly registered vehicles such as plate numbers and registration dates. The request will be referred to the competent authority to verify the records and remove the incorrect registration as soon as possible.</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1</w:t>
            </w:r>
          </w:p>
        </w:tc>
      </w:tr>
    </w:tbl>
    <w:p/>
    <w:p>
      <w:pPr>
        <w:jc w:val="center"/>
      </w:pPr>
      <w:r>
        <w:rPr>
          <w:rFonts w:ascii="Calibri" w:hAnsi="Calibri" w:eastAsia="Calibri" w:cs="Calibri"/>
          <w:i/>
          <w:color w:val="000000"/>
          <w:sz w:val="22"/>
          <w:szCs w:val="22"/>
        </w:rPr>
        <w:t>These questions are extracted from the most recurring patterns in the text data.</w:t>
      </w:r>
    </w:p>
    <w:p>
      <w:pPr>
        <w:pStyle w:val="Heading2"/>
        <w:jc w:val="left"/>
      </w:pPr>
      <w:r>
        <w:rPr>
          <w:rFonts w:ascii="Calibri" w:hAnsi="Calibri" w:eastAsia="Calibri" w:cs="Calibri"/>
          <w:b/>
          <w:color w:val="B68A35"/>
          <w:sz w:val="26"/>
          <w:szCs w:val="26"/>
        </w:rPr>
        <w:t>6.2  Pathway to Eliminating 4+ Contact Cases Through Proactive Notification</w:t>
      </w:r>
      <w:bookmarkStart w:id="20" w:name="_Toc000000020"/>
      <w:bookmarkEnd w:id="20"/>
    </w:p>
    <w:p>
      <w:pPr>
        <w:spacing w:after="120"/>
        <w:jc w:val="both"/>
      </w:pPr>
      <w:r>
        <w:rPr>
          <w:rFonts w:ascii="Calibri" w:hAnsi="Calibri" w:eastAsia="Calibri" w:cs="Calibri"/>
          <w:b w:val="0"/>
          <w:i w:val="0"/>
          <w:color w:val="000000"/>
          <w:sz w:val="24"/>
          <w:szCs w:val="24"/>
          <w:u w:val="none"/>
        </w:rPr>
        <w:t>Data analysis reveals that 4+ contact cases (36% of the total) could have been entirely eliminated through a simple notification system — without any structural change to systems or procedures: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Notification Type</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Cases Eliminated</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Notification Content (Example)</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Channel</w:t>
            </w:r>
          </w:p>
        </w:tc>
        <w:tc>
          <w:tcPr>
            <w:tcW w:type="dxa" w:w="1872"/>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Expected Impact</w:t>
            </w:r>
          </w:p>
        </w:tc>
      </w:tr>
      <w:tr>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Immediate notification with traffic violation photograph</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 cases</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Traffic violation No. [X] has been issued against you on [date]. Click here to view the photograph and object within 15 days: [link]'</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Prevention of two incoming enquiry cases related to incorrect violations and reduction of service centre visits.</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Special number plate registration confirmation notification</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Your special number plate [X] has been successfully registered to your account in the MOI application. You may now view its details from the 'My Numbers' section.'</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In-app notification</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Elimination of one enquiry case and increased customer confidence in the reliability of the digital payment system.</w:t>
            </w:r>
          </w:p>
        </w:tc>
      </w:tr>
      <w:tr>
        <w:tc>
          <w:tcPr>
            <w:tcW w:type="dxa" w:w="1872"/>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Request status update notification (PCC or paid services)</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'Fujairah Police: Your request No. [X] has been received and is being processed. Expected completion date: [X]. To track the status, open the MOI application and go to 'My Requests'.'</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Prevention of one enquiry case and reduction in the rate of support contacts regarding paid requests.</w:t>
            </w:r>
          </w:p>
        </w:tc>
      </w:tr>
    </w:tbl>
    <w:p/>
    <w:p>
      <w:pPr>
        <w:jc w:val="center"/>
      </w:pPr>
      <w:r>
        <w:rPr>
          <w:rFonts w:ascii="Calibri" w:hAnsi="Calibri" w:eastAsia="Calibri" w:cs="Calibri"/>
          <w:i/>
          <w:color w:val="000000"/>
          <w:sz w:val="22"/>
          <w:szCs w:val="22"/>
        </w:rPr>
        <w:t>Data analysis reveals that 4+ contact cases (36% of the total) could have been entirely eliminated through a simple notification system — without any structural change to systems or procedures:</w:t>
      </w:r>
    </w:p>
    <w:p>
      <w:pPr>
        <w:pStyle w:val="Heading1"/>
        <w:jc w:val="left"/>
      </w:pPr>
      <w:r>
        <w:rPr>
          <w:rFonts w:ascii="Calibri" w:hAnsi="Calibri" w:eastAsia="Calibri" w:cs="Calibri"/>
          <w:b/>
          <w:color w:val="B68A35"/>
          <w:sz w:val="32"/>
          <w:szCs w:val="32"/>
        </w:rPr>
        <w:t>Seventh: AI-Powered Use Cases</w:t>
      </w:r>
      <w:bookmarkStart w:id="21" w:name="_Toc000000021"/>
      <w:bookmarkEnd w:id="21"/>
    </w:p>
    <w:p>
      <w:pPr>
        <w:spacing w:after="120"/>
        <w:jc w:val="both"/>
      </w:pPr>
      <w:r>
        <w:rPr>
          <w:rFonts w:ascii="Calibri" w:hAnsi="Calibri" w:eastAsia="Calibri" w:cs="Calibri"/>
          <w:b w:val="0"/>
          <w:i w:val="0"/>
          <w:color w:val="000000"/>
          <w:sz w:val="24"/>
          <w:szCs w:val="24"/>
          <w:u w:val="none"/>
        </w:rPr>
        <w:t>The opportunities identified in February - July 2025 integrate with artificial intelligence capabilities to form an intelligent self-service system covering 100% of current contact volume without human intervention in classification and routing operations. This system is based on 11 documented cases during the aforementioned period and is distributed across four integrated AI tools that address friction sources at their point of origin rather than after they are recorded in the CRM.</w:t>
      </w:r>
    </w:p>
    <w:p>
      <w:pPr>
        <w:spacing w:after="120"/>
        <w:jc w:val="both"/>
      </w:pPr>
      <w:r>
        <w:rPr>
          <w:rFonts w:ascii="Calibri" w:hAnsi="Calibri" w:eastAsia="Calibri" w:cs="Calibri"/>
          <w:b w:val="0"/>
          <w:i w:val="0"/>
          <w:color w:val="000000"/>
          <w:sz w:val="24"/>
          <w:szCs w:val="24"/>
          <w:u w:val="none"/>
        </w:rPr>
        <w:t>Key note: Training data is now ready — 11 manually classified and labelled cases from the February - July 2025 period are available; this labelled training dataset enables immediate commencement of AI automatic classification model training without the need for any additional data collection efforts.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Tool</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Function</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Expected Impact on February - July 2025 Data</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Implementation Assessment</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Visual verification system for traffic violation photographs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is activated automatically at the moment a traffic violation photograph is captured, using a Computer Vision model to match the colour and model of the vehicle in the photograph against the vehicle data registered in the database. Upon detecting any discrepancy between the photographed plate and the vehicle record, the system issues an immediate alert to the competent officer before the violation is finalised, preventing the issuance of disputed violations to the customer.</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High — 9+ months (requires real-time feed access from violation cameras)</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Smart routing engine for government authority referrals</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analyses the text of each new incoming case as soon as it is recorded in the CRM, using a text classification model supported by an authority jurisdiction database, to automatically identify the competent authority — whether Fujairah Police, RTA, Municipality, or others. The system sends an immediate direction to the customer via the appropriate channel with the correct authority's details, eliminating the need for repeated manual re-routing.</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Medium — 3-4 months (requires a documented jurisdiction map for all authorities)</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Document and certificate quality checker using OCR technology</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is activated when a customer uploads any document or photograph within their request, employing OCR technology to read mandatory fields and extract data, combined with image quality checking algorithms to verify accuracy, clarity, and document validity — such as inspection certificates and identity number matching. Should any deficiency or flaw be detected, the system immediately guides the customer to make the required correction before submission, without the need for staff intervention.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Medium — 3-4 months (OCR models and document verification standards are commercially available)</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Geographical friction radar using NER technology and heat maps</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The system processes the texts of all complaints, reports, and suggestions recorded in the CRM using NER technology to extract location names and geographical areas mentioned in the texts. An interactive heat map is then generated displaying case density by geographical area, enabling leadership to identify intersections and areas with disproportionate recurrence rates to make infrastructure investment decisions and patrol distribution based on objective data-driven evidence.</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Low–Medium — 2-3 months (location data extracted from existing CRM texts)</w:t>
            </w:r>
          </w:p>
        </w:tc>
      </w:tr>
    </w:tbl>
    <w:p/>
    <w:p>
      <w:pPr>
        <w:jc w:val="center"/>
      </w:pPr>
      <w:r>
        <w:rPr>
          <w:rFonts w:ascii="Calibri" w:hAnsi="Calibri" w:eastAsia="Calibri" w:cs="Calibri"/>
          <w:i/>
          <w:color w:val="000000"/>
          <w:sz w:val="22"/>
          <w:szCs w:val="22"/>
        </w:rPr>
        <w:t>The opportunities identified in February - July 2025 integrate with artificial intelligence capabilities to form an intelligent self-service system covering 100% of current contact volume without human intervention in classification and routing operations. This system is based on 11 documented cases during the aforementioned period and is distributed across four integrated AI tools that address friction sources at their point of origin rather than after they are recorded in the CRM.</w:t>
      </w:r>
    </w:p>
    <w:p>
      <w:pPr>
        <w:pStyle w:val="Heading1"/>
        <w:jc w:val="left"/>
      </w:pPr>
      <w:r>
        <w:rPr>
          <w:rFonts w:ascii="Calibri" w:hAnsi="Calibri" w:eastAsia="Calibri" w:cs="Calibri"/>
          <w:b/>
          <w:color w:val="B68A35"/>
          <w:sz w:val="32"/>
          <w:szCs w:val="32"/>
        </w:rPr>
        <w:t>Eighth: Proposed Improvement Roadmap</w:t>
      </w:r>
      <w:bookmarkStart w:id="22" w:name="_Toc000000022"/>
      <w:bookmarkEnd w:id="22"/>
    </w:p>
    <w:p>
      <w:pPr>
        <w:spacing w:after="120"/>
        <w:jc w:val="both"/>
      </w:pPr>
      <w:r>
        <w:rPr>
          <w:rFonts w:ascii="Calibri" w:hAnsi="Calibri" w:eastAsia="Calibri" w:cs="Calibri"/>
          <w:b w:val="0"/>
          <w:i w:val="0"/>
          <w:color w:val="000000"/>
          <w:sz w:val="24"/>
          <w:szCs w:val="24"/>
          <w:u w:val="none"/>
        </w:rPr>
        <w:t>This roadmap consolidates the recommendations from the four analyses into a graduated priority system based on data from the period from February to July 2025, encompassing 11 documented cases that form the analytical foundation for each proposed item. All eight items are derived directly from data outputs without the addition of generic recommendations, and are ranked in descending order according to the dual criteria of impact on customer experience and ease of implementation.</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Time Horizon</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Recommendation</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Source</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Expected Impact</w:t>
            </w:r>
          </w:p>
        </w:tc>
        <w:tc>
          <w:tcPr>
            <w:tcW w:type="dxa" w:w="156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Effort</w:t>
            </w:r>
          </w:p>
        </w:tc>
      </w:tr>
      <w:tr>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Publish an 'FAQ' section in the application and portal clarifying data synchronisation schedules for each transaction type, together with an automatic SMS notification bearing a timestamp upon successful data registration, and a self-service transaction status enquiry tool.</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Reduction of 3+ contact cases related to delays in data appearing and not being updated in the system after completing the procedure.</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the sending of a photograph of the offending vehicle directly within an SMS notification or application alert at the moment the violation is issued, enabling the customer to verify its correctness immediately without needing to contact support.</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Elimination of 2+ contact cases arising from failure to verify the identity of the offending vehicle.</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Mandate the system to send an SMS and email immediately upon every deduction or service cancellation, publish the refund service level agreement in the application and portal, and create an independent escalation pathway in the CRM for silent cancellation cases.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Reduction of 2+ cases related to amounts being deducted and requests cancelled without notifying the customer.</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Activate a self-correction mechanism in the application allowing the customer to object to an incorrect violation by submitting a direct request attached with an OCR image of the plate, together with an SMS notification confirming receipt of the correction request and a reference number.</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Reduction of 2+ cases resulting from recording a violation against an unrelated vehicle or person.</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Add a transaction history log in the application displaying all payment and service events with their actual status, along with an immediate SMS alert upon any change in request status or registered data.</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Reduction of 2+ cases arising from amounts being deducted or incorrect data being recorded without the customer's knowledge.</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Programme an automatic SMS notification to be sent immediately upon completion of special number plate registration in the system, containing the request number and a direct link to the status verification page in the application or portal.</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Elimination of 1+ contact case arising from ambiguity regarding the special number plate registration status.</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Short-term</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7</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Build a geographical friction radar using NER technology to extract areas from case texts and visualise them as heat maps on the internal analytics portal to guide infrastructure investment decisions.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Converting dispersed geographical proposals into investment priorities based on actual case density by area.</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Medium-term</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8</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Develop a smart routing engine integrated into the CRM that automatically classifies the case and refers it to the competent government authority via shared service databases, with an SMS notification to the customer indicating the authority to which the case has been referred.</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Elimination of incorrect inter-authority referrals and reduction of resolution time for cases requiring joint government coordination.</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Medium</w:t>
            </w:r>
          </w:p>
        </w:tc>
      </w:tr>
    </w:tbl>
    <w:p/>
    <w:p>
      <w:pPr>
        <w:jc w:val="center"/>
      </w:pPr>
      <w:r>
        <w:rPr>
          <w:rFonts w:ascii="Calibri" w:hAnsi="Calibri" w:eastAsia="Calibri" w:cs="Calibri"/>
          <w:i/>
          <w:color w:val="000000"/>
          <w:sz w:val="22"/>
          <w:szCs w:val="22"/>
        </w:rPr>
        <w:t>This roadmap consolidates the recommendations from the four analyses into a graduated priority system based on data from the period from February to July 2025, encompassing 11 documented cases that form the analytical foundation for each proposed item. All eight items are derived directly from data outputs without the addition of generic recommendations, and are ranked in descending order according to the dual criteria of impact on customer experience and ease of implementation.</w:t>
      </w:r>
    </w:p>
    <w:p>
      <w:pPr>
        <w:pStyle w:val="Heading1"/>
        <w:jc w:val="left"/>
      </w:pPr>
      <w:r>
        <w:rPr>
          <w:rFonts w:ascii="Calibri" w:hAnsi="Calibri" w:eastAsia="Calibri" w:cs="Calibri"/>
          <w:b/>
          <w:color w:val="B68A35"/>
          <w:sz w:val="32"/>
          <w:szCs w:val="32"/>
        </w:rPr>
        <w:t>Ninth: Conclusion — From Data to Decision</w:t>
      </w:r>
      <w:bookmarkStart w:id="23" w:name="_Toc000000023"/>
      <w:bookmarkEnd w:id="23"/>
    </w:p>
    <w:p>
      <w:pPr>
        <w:spacing w:after="120"/>
        <w:jc w:val="both"/>
      </w:pPr>
      <w:r>
        <w:rPr>
          <w:rFonts w:ascii="Calibri" w:hAnsi="Calibri" w:eastAsia="Calibri" w:cs="Calibri"/>
          <w:b w:val="0"/>
          <w:i w:val="0"/>
          <w:color w:val="000000"/>
          <w:sz w:val="24"/>
          <w:szCs w:val="24"/>
          <w:u w:val="none"/>
        </w:rPr>
        <w:t>The final message: data has confirmed that 81.8% of cases were submitted through digital submission channels (the application and website), yet the closure rate within the service level agreement was 0.0%, revealing that operational excellence was achieved in the access channel rather than in solution quality. Furthermore, 50.0% of friction cases arose within the digital service context itself — such as application malfunctions, electronic renewals, and digital payments — confirming that the true gap lies in service functions rather than the customer's ability to access them. The reclassification of 100.0% of the eleven cases is conclusive evidence that the problem is not the absence of channels but the absence of functions, most clearly demonstrated by 'system malfunctions' topping the friction factors with three documented cases. The analyses presented in this report confirm that the solution pathway runs exclusively through closing the four critical functional gaps, activating proactive notification capable of eliminating more than four contact cases without any need to increase human capacity, and correcting data quality to ensure continuity of improvement.</w:t>
      </w:r>
    </w:p>
    <w:p>
      <w:pPr>
        <w:pStyle w:val="Heading2"/>
        <w:jc w:val="left"/>
      </w:pPr>
      <w:r>
        <w:rPr>
          <w:rFonts w:ascii="Calibri" w:hAnsi="Calibri" w:eastAsia="Calibri" w:cs="Calibri"/>
          <w:b/>
          <w:color w:val="B68A35"/>
          <w:sz w:val="26"/>
          <w:szCs w:val="26"/>
        </w:rPr>
        <w:t>Three Transformation Pillars</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Pillar One: Accuracy</w:t>
            </w:r>
          </w:p>
        </w:tc>
        <w:tc>
          <w:tcPr>
            <w:tcW w:type="dxa" w:w="312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Pillar Two: Accessibility</w:t>
            </w:r>
          </w:p>
        </w:tc>
        <w:tc>
          <w:tcPr>
            <w:tcW w:type="dxa" w:w="312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Pillar Three: Intelligence</w:t>
            </w:r>
          </w:p>
        </w:tc>
      </w:tr>
      <w:tr>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Improving the accuracy of request classifications</w:t>
            </w:r>
          </w:p>
        </w:tc>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Unified and comprehensive FAQ section</w:t>
            </w:r>
          </w:p>
        </w:tc>
        <w:tc>
          <w:tcPr>
            <w:tcW w:type="dxa" w:w="312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Visual verification system for traffic violation photographs</w:t>
            </w:r>
          </w:p>
        </w:tc>
      </w:tr>
      <w:tr>
        <w:tc>
          <w:tcPr>
            <w:tcW w:type="dxa" w:w="312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Adding root cause and processing time fields to request resolution</w:t>
            </w:r>
          </w:p>
        </w:tc>
        <w:tc>
          <w:tcPr>
            <w:tcW w:type="dxa" w:w="312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Immediate notification with traffic violation photograph</w:t>
            </w:r>
          </w:p>
        </w:tc>
        <w:tc>
          <w:tcPr>
            <w:tcW w:type="dxa" w:w="312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Smart routing engine for government authority referrals</w:t>
            </w:r>
          </w:p>
        </w:tc>
      </w:tr>
      <w:tr>
        <w:tc>
          <w:tcPr>
            <w:tcW w:type="dxa" w:w="312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Restructuring service classification and eliminating the 'Other' category</w:t>
            </w:r>
          </w:p>
        </w:tc>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Special number plate registration confirmation notification</w:t>
            </w:r>
          </w:p>
        </w:tc>
        <w:tc>
          <w:tcPr>
            <w:tcW w:type="dxa" w:w="312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Document and certificate quality checker using OCR technology</w:t>
            </w:r>
          </w:p>
        </w:tc>
      </w:tr>
      <w:tr>
        <w:tc>
          <w:tcPr>
            <w:tcW w:type="dxa" w:w="312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r>
          </w:p>
        </w:tc>
        <w:tc>
          <w:tcPr>
            <w:tcW w:type="dxa" w:w="312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Request status update notification (PCC or paid services)</w:t>
            </w:r>
          </w:p>
        </w:tc>
        <w:tc>
          <w:tcPr>
            <w:tcW w:type="dxa" w:w="312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Geographical friction radar using NER technology and heat maps</w:t>
            </w:r>
          </w:p>
        </w:tc>
      </w:tr>
    </w:tbl>
    <w:p/>
    <w:p>
      <w:pPr>
        <w:pStyle w:val="Heading2"/>
        <w:jc w:val="left"/>
      </w:pPr>
      <w:r>
        <w:rPr>
          <w:rFonts w:ascii="Calibri" w:hAnsi="Calibri" w:eastAsia="Calibri" w:cs="Calibri"/>
          <w:b/>
          <w:color w:val="B68A35"/>
          <w:sz w:val="26"/>
          <w:szCs w:val="26"/>
        </w:rPr>
        <w:t>Expected Aggregate Impact:</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0.0%</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4+</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color w:val="FFFFFF"/>
                <w:sz w:val="20"/>
                <w:szCs w:val="20"/>
              </w:rPr>
              <w:t>95%+</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color w:val="FFFFFF"/>
                <w:sz w:val="20"/>
                <w:szCs w:val="20"/>
              </w:rPr>
              <w:t>30-40%</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of contact requests are genuine inquiries eligible for full transfer to proactive service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cases eligible for elimination through proactive notification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spacing w:before="60" w:after="60"/>
              <w:jc w:val="left"/>
            </w:pPr>
            <w:r>
              <w:rPr>
                <w:rFonts w:ascii="Calibri" w:hAnsi="Calibri" w:eastAsia="Calibri" w:cs="Calibri"/>
                <w:b w:val="0"/>
                <w:color w:val="000000"/>
                <w:sz w:val="20"/>
                <w:szCs w:val="20"/>
              </w:rPr>
              <w:t>case classification accuracy after the automated classifier and implementation of the proposed initiatives</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reduction in repeated contact cases and calls</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2" w:space="4" w:color="B68A35"/>
      </w:pBdr>
    </w:pPr>
    <w:r>
      <w:rPr>
        <w:rFonts w:ascii="Calibri" w:hAnsi="Calibri" w:eastAsia="Calibri" w:cs="Calibri"/>
        <w:sz w:val="18"/>
        <w:szCs w:val="18"/>
      </w:rPr>
      <w:t xml:space="preserve">Confidential — Internal Use Only  |  Page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4" w:color="B68A35"/>
      </w:pBdr>
    </w:pPr>
    <w:r>
      <w:rPr>
        <w:rFonts w:ascii="Calibri" w:hAnsi="Calibri" w:eastAsia="Calibri" w:cs="Calibri"/>
        <w:color w:val="B68A35"/>
        <w:sz w:val="20"/>
        <w:szCs w:val="20"/>
      </w:rPr>
      <w:t>Customer Inquiry Analysis Report  ·  February - July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cs="Calibr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cs="Calibr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spacing w:before="0" w:line="240" w:lineRule="auto"/>
      <w:ind w:left="0"/>
      <w:jc w:val="left"/>
    </w:pPr>
    <w:rPr>
      <w:rFonts w:ascii="Calibri" w:hAnsi="Calibri" w:cs="Calibri"/>
      <w:b/>
      <w:bCs/>
      <w:color w:val="FFFFFF"/>
    </w:rPr>
  </w:style>
  <w:style w:type="paragraph" w:styleId="TOC1">
    <w:name w:val="toc 1"/>
    <w:basedOn w:val="Normal"/>
    <w:next w:val="Normal"/>
    <w:autoRedefine/>
    <w:uiPriority w:val="39"/>
    <w:unhideWhenUsed/>
    <w:pPr>
      <w:tabs>
        <w:tab w:val="right" w:leader="dot" w:pos="9310"/>
      </w:tabs>
      <w:spacing w:after="100"/>
      <w:jc w:val="left"/>
    </w:pPr>
    <w:rPr>
      <w:rFonts w:cs="Calibri"/>
    </w:rPr>
  </w:style>
  <w:style w:type="paragraph" w:styleId="TOC2">
    <w:name w:val="toc 2"/>
    <w:basedOn w:val="Normal"/>
    <w:next w:val="Normal"/>
    <w:autoRedefine/>
    <w:uiPriority w:val="39"/>
    <w:unhideWhenUsed/>
    <w:pPr>
      <w:tabs>
        <w:tab w:val="right" w:leader="dot" w:pos="9310"/>
      </w:tabs>
      <w:spacing w:after="100"/>
      <w:jc w:val="left"/>
    </w:pPr>
    <w:rPr>
      <w:rFonts w:cs="Calibri"/>
    </w:rPr>
  </w:style>
  <w:style w:type="paragraph" w:styleId="TOC3">
    <w:name w:val="toc 3"/>
    <w:basedOn w:val="Normal"/>
    <w:next w:val="Normal"/>
    <w:autoRedefine/>
    <w:uiPriority w:val="39"/>
    <w:unhideWhenUsed/>
    <w:pPr>
      <w:tabs>
        <w:tab w:val="right" w:leader="dot" w:pos="9310"/>
      </w:tabs>
      <w:spacing w:after="100"/>
      <w:jc w:val="left"/>
    </w:pPr>
    <w:rPr>
      <w:rFonts w:cs="Calibr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Original Classification vs. Correct Classification</a:t>
            </a:r>
          </a:p>
        </c:rich>
      </c:tx>
      <c:overlay val="0"/>
    </c:title>
    <c:plotArea>
      <c:layout/>
      <c:barChart>
        <c:barDir val="bar"/>
        <c:grouping val="clustered"/>
        <c:varyColors val="0"/>
        <c:ser>
          <c:idx val="0"/>
          <c:order val="0"/>
          <c:tx>
            <c:strRef>
              <c:f>Sheet1!$B$1</c:f>
              <c:strCache>
                <c:ptCount val="1"/>
                <c:pt idx="0">
                  <c:v>Original Classification</c:v>
                </c:pt>
              </c:strCache>
            </c:strRef>
          </c:tx>
          <c:spPr>
            <a:solidFill>
              <a:srgbClr val="2E5090"/>
            </a:solidFill>
            <a:ln>
              <a:solidFill>
                <a:srgbClr val="2E5090"/>
              </a:solidFill>
            </a:ln>
          </c:spPr>
          <c:cat>
            <c:strRef>
              <c:f>Sheet1!$A$2:$A$5</c:f>
              <c:strCache>
                <c:ptCount val="4"/>
                <c:pt idx="0">
                  <c:v>Complaint</c:v>
                </c:pt>
                <c:pt idx="1">
                  <c:v>Inquiry</c:v>
                </c:pt>
                <c:pt idx="2">
                  <c:v>Request</c:v>
                </c:pt>
                <c:pt idx="3">
                  <c:v>Compliment</c:v>
                </c:pt>
              </c:strCache>
            </c:strRef>
          </c:cat>
          <c:val>
            <c:numRef>
              <c:f>Sheet1!$B$2:$B$5</c:f>
              <c:numCache>
                <c:formatCode>General</c:formatCode>
                <c:ptCount val="4"/>
                <c:pt idx="0">
                  <c:v>0.0</c:v>
                </c:pt>
                <c:pt idx="1">
                  <c:v>10.0</c:v>
                </c:pt>
                <c:pt idx="2">
                  <c:v>0.0</c:v>
                </c:pt>
                <c:pt idx="3">
                  <c:v>0.0</c:v>
                </c:pt>
              </c:numCache>
            </c:numRef>
          </c:val>
        </c:ser>
        <c:ser>
          <c:idx val="1"/>
          <c:order val="1"/>
          <c:tx>
            <c:strRef>
              <c:f>Sheet1!$C$1</c:f>
              <c:strCache>
                <c:ptCount val="1"/>
                <c:pt idx="0">
                  <c:v>Correct Classification</c:v>
                </c:pt>
              </c:strCache>
            </c:strRef>
          </c:tx>
          <c:spPr>
            <a:solidFill>
              <a:srgbClr val="B68A35"/>
            </a:solidFill>
            <a:ln>
              <a:solidFill>
                <a:srgbClr val="B68A35"/>
              </a:solidFill>
            </a:ln>
          </c:spPr>
          <c:cat>
            <c:strRef>
              <c:f>Sheet1!$A$2:$A$5</c:f>
              <c:strCache>
                <c:ptCount val="4"/>
                <c:pt idx="0">
                  <c:v>Complaint</c:v>
                </c:pt>
                <c:pt idx="1">
                  <c:v>Inquiry</c:v>
                </c:pt>
                <c:pt idx="2">
                  <c:v>Request</c:v>
                </c:pt>
                <c:pt idx="3">
                  <c:v>Compliment</c:v>
                </c:pt>
              </c:strCache>
            </c:strRef>
          </c:cat>
          <c:val>
            <c:numRef>
              <c:f>Sheet1!$C$2:$C$5</c:f>
              <c:numCache>
                <c:formatCode>General</c:formatCode>
                <c:ptCount val="4"/>
                <c:pt idx="0">
                  <c:v>10.0</c:v>
                </c:pt>
                <c:pt idx="1">
                  <c:v>0.0</c:v>
                </c:pt>
                <c:pt idx="2">
                  <c:v>0.0</c:v>
                </c:pt>
                <c:pt idx="3">
                  <c:v>1.0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