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lsx" ContentType="application/vnd.openxmlformats-officedocument.spreadsheetml.sheet"/>
  <Override PartName="/word/charts/chart1.xml" ContentType="application/vnd.openxmlformats-officedocument.drawingml.chart+xml"/>
  <Override PartName="/word/embeddings/chart1_data.xlsx" ContentType="application/vnd.openxmlformats-officedocument.spreadsheetml.sheet"/>
  <Override PartName="/word/charts/chart2.xml" ContentType="application/vnd.openxmlformats-officedocument.drawingml.chart+xml"/>
  <Override PartName="/word/embeddings/chart2_data.xlsx" ContentType="application/vnd.openxmlformats-officedocument.spreadsheetml.sheet"/>
  <Override PartName="/word/charts/chart3.xml" ContentType="application/vnd.openxmlformats-officedocument.drawingml.chart+xml"/>
  <Override PartName="/word/embeddings/chart3_data.xlsx" ContentType="application/vnd.openxmlformats-officedocument.spreadsheetml.sheet"/>
  <Override PartName="/word/charts/chart4.xml" ContentType="application/vnd.openxmlformats-officedocument.drawingml.chart+xml"/>
  <Override PartName="/word/embeddings/chart4_data.xlsx" ContentType="application/vnd.openxmlformats-officedocument.spreadsheetml.shee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p14">
  <w:body>
    <w:p>
      <w:pPr>
        <w:spacing w:before="0" w:after="240"/>
      </w:pPr>
    </w:p>
    <w:p>
      <w:pPr>
        <w:jc w:val="center"/>
      </w:pPr>
      <w:r>
        <w:drawing>
          <wp:inline xmlns:pic="http://schemas.openxmlformats.org/drawingml/2006/picture">
            <wp:extent cx="1508400" cy="986400"/>
            <wp:docPr id="1" name="Picture 1"/>
            <wp:cNvGraphicFramePr>
              <a:graphicFrameLocks noChangeAspect="1"/>
            </wp:cNvGraphicFramePr>
            <a:graphic>
              <a:graphicData uri="http://schemas.openxmlformats.org/drawingml/2006/picture">
                <pic:pic>
                  <pic:nvPicPr>
                    <pic:cNvPr id="0" name="fujairah-short-logo.png"/>
                    <pic:cNvPicPr/>
                  </pic:nvPicPr>
                  <pic:blipFill>
                    <a:blip r:embed="rId11"/>
                    <a:stretch>
                      <a:fillRect/>
                    </a:stretch>
                  </pic:blipFill>
                  <pic:spPr>
                    <a:xfrm>
                      <a:off x="0" y="0"/>
                      <a:ext cx="1508400" cy="986400"/>
                    </a:xfrm>
                    <a:prstGeom prst="rect"/>
                  </pic:spPr>
                </pic:pic>
              </a:graphicData>
            </a:graphic>
          </wp:inline>
        </w:drawing>
      </w:r>
    </w:p>
    <w:p>
      <w:pPr>
        <w:spacing w:before="160" w:after="160"/>
        <w:pBdr>
          <w:bottom w:val="single" w:sz="12" w:space="4" w:color="B68A35"/>
        </w:pBdr>
      </w:pPr>
    </w:p>
    <w:p>
      <w:pPr>
        <w:bidi w:val="1"/>
        <w:pStyle w:val="Heading1"/>
        <w:spacing w:before="240" w:after="240"/>
        <w:jc w:val="center"/>
      </w:pPr>
      <w:r>
        <w:rPr>
          <w:rFonts w:ascii="Dubai" w:hAnsi="Dubai" w:eastAsia="Dubai" w:cs="Dubai"/>
          <w:b/>
          <w:color w:val="B68A35"/>
          <w:sz w:val="52"/>
          <w:szCs w:val="32"/>
          <w:rtl/>
        </w:rPr>
        <w:t>تقرير تحليل استفسارات المتعاملين — يناير - ديسمبر 2025</w:t>
      </w:r>
      <w:bookmarkStart w:id="1" w:name="_Toc000000001"/>
      <w:bookmarkEnd w:id="1"/>
    </w:p>
    <w:p>
      <w:pPr>
        <w:spacing w:before="160" w:after="160"/>
        <w:pBdr>
          <w:bottom w:val="single" w:sz="12" w:space="4" w:color="B68A35"/>
        </w:pBdr>
      </w:pPr>
    </w:p>
    <w:p>
      <w:pPr>
        <w:spacing w:before="0" w:after="320"/>
      </w:pPr>
    </w:p>
    <w:p>
      <w:pPr>
        <w:bidi w:val="1"/>
        <w:spacing w:after="160"/>
        <w:jc w:val="center"/>
      </w:pPr>
      <w:r>
        <w:rPr>
          <w:rFonts w:ascii="Dubai" w:hAnsi="Dubai" w:eastAsia="Dubai" w:cs="Dubai"/>
          <w:b/>
          <w:i w:val="0"/>
          <w:color w:val="B68A35"/>
          <w:sz w:val="28"/>
          <w:szCs w:val="24"/>
          <w:u w:val="none"/>
          <w:rtl/>
        </w:rPr>
        <w:t>يناير - ديسمبر 2025</w:t>
      </w:r>
    </w:p>
    <w:p>
      <w:pPr>
        <w:spacing w:before="0" w:after="320"/>
      </w:pPr>
    </w:p>
    <w:p>
      <w:pPr>
        <w:bidi w:val="1"/>
        <w:spacing w:after="160"/>
        <w:jc w:val="center"/>
      </w:pPr>
      <w:r>
        <w:rPr>
          <w:rFonts w:ascii="Dubai" w:hAnsi="Dubai" w:eastAsia="Dubai" w:cs="Dubai"/>
          <w:b/>
          <w:i w:val="0"/>
          <w:color w:val="B68A35"/>
          <w:sz w:val="28"/>
          <w:szCs w:val="24"/>
          <w:u w:val="none"/>
          <w:rtl/>
        </w:rPr>
        <w:t>إجمالي الحالات المغلقة: 1046 حالة</w:t>
      </w:r>
    </w:p>
    <w:p>
      <w:pPr>
        <w:bidi w:val="1"/>
        <w:spacing w:after="160"/>
        <w:jc w:val="center"/>
      </w:pPr>
      <w:r>
        <w:rPr>
          <w:rFonts w:ascii="Dubai" w:hAnsi="Dubai" w:eastAsia="Dubai" w:cs="Dubai"/>
          <w:b/>
          <w:i w:val="0"/>
          <w:color w:val="B68A35"/>
          <w:sz w:val="28"/>
          <w:szCs w:val="24"/>
          <w:u w:val="none"/>
          <w:rtl/>
        </w:rPr>
        <w:t>الشكاوى: 65.2% من إجمالي التواصل</w:t>
      </w:r>
    </w:p>
    <w:p>
      <w:pPr>
        <w:bidi w:val="1"/>
        <w:spacing w:after="160"/>
        <w:jc w:val="center"/>
      </w:pPr>
      <w:r>
        <w:rPr>
          <w:rFonts w:ascii="Dubai" w:hAnsi="Dubai" w:eastAsia="Dubai" w:cs="Dubai"/>
          <w:b/>
          <w:i w:val="0"/>
          <w:color w:val="B68A35"/>
          <w:sz w:val="28"/>
          <w:szCs w:val="24"/>
          <w:u w:val="none"/>
          <w:rtl/>
        </w:rPr>
        <w:t>معدل الإغلاق في الوقت المحدد: 96.9%</w:t>
      </w:r>
    </w:p>
    <w:p>
      <w:pPr>
        <w:spacing w:before="0" w:after="640"/>
      </w:pPr>
    </w:p>
    <w:p>
      <w:pPr>
        <w:bidi w:val="1"/>
        <w:spacing w:after="0"/>
        <w:jc w:val="center"/>
      </w:pPr>
      <w:r>
        <w:rPr>
          <w:rFonts w:ascii="Dubai" w:hAnsi="Dubai" w:eastAsia="Dubai" w:cs="Dubai"/>
          <w:b w:val="0"/>
          <w:i w:val="0"/>
          <w:color w:val="606060"/>
          <w:sz w:val="24"/>
          <w:szCs w:val="24"/>
          <w:u w:val="none"/>
          <w:rtl/>
        </w:rPr>
        <w:t>شرطة الفجيرة  |  2026-09-15  |  تحليل ذكاء الأعمال المتكامل</w:t>
      </w:r>
    </w:p>
    <w:p>
      <w:r>
        <w:br w:type="page"/>
      </w:r>
    </w:p>
    <w:sdt>
      <w:sdtPr>
        <w:docPartObj>
          <w:docPartGallery w:val="Table of Contents"/>
          <w:docPartUnique/>
        </w:docPartObj>
      </w:sdtPr>
      <w:sdtEndPr/>
      <w:sdtContent>
        <w:p>
          <w:pPr>
            <w:pStyle w:val="TOCHeading"/>
          </w:pPr>
          <w:r>
            <w:rPr>
              <w:rFonts w:ascii="Dubai" w:hAnsi="Dubai" w:cs="Dubai"/>
              <w:color w:val="FFFFFF"/>
              <w:rtl/>
            </w:rPr>
            <w:t>المحتويات</w:t>
          </w:r>
        </w:p>
        <w:p>
          <w:pPr>
            <w:pStyle w:val="TOC1"/>
          </w:pPr>
          <w:r>
            <w:fldChar w:fldCharType="begin"/>
          </w:r>
          <w:r>
            <w:instrText xml:space="preserve"> TOC \o "1-3" \h \z \u </w:instrText>
          </w:r>
          <w:r>
            <w:fldChar w:fldCharType="separate"/>
          </w:r>
          <w:hyperlink w:anchor="_Toc000000002" w:history="1">
            <w:r>
              <w:rPr>
                <w:rStyle w:val="Hyperlink"/>
                <w:rFonts w:ascii="Dubai" w:hAnsi="Dubai" w:cs="Dubai"/>
                <w:noProof/>
                <w:rtl/>
              </w:rPr>
              <w:t>أولاً: الملخص التنفيذي — التحليلات الرئيسية</w:t>
            </w:r>
            <w:r>
              <w:rPr>
                <w:noProof/>
                <w:webHidden/>
              </w:rPr>
              <w:tab/>
            </w:r>
            <w:r>
              <w:fldChar w:fldCharType="begin"/>
            </w:r>
            <w:r>
              <w:instrText xml:space="preserve"> PAGEREF _Toc000000002 \h </w:instrText>
            </w:r>
            <w:r>
              <w:rPr>
                <w:noProof/>
                <w:webHidden/>
              </w:rPr>
              <w:fldChar w:fldCharType="separate"/>
            </w:r>
            <w:r>
              <w:rPr>
                <w:noProof/>
                <w:webHidden/>
                <w:rtl/>
              </w:rPr>
              <w:t>1</w:t>
            </w:r>
            <w:r>
              <w:rPr>
                <w:noProof/>
                <w:webHidden/>
              </w:rPr>
              <w:fldChar w:fldCharType="end"/>
            </w:r>
          </w:hyperlink>
        </w:p>
        <w:p>
          <w:pPr>
            <w:pStyle w:val="TOC2"/>
          </w:pPr>
          <w:hyperlink w:anchor="_Toc000000003" w:history="1">
            <w:r>
              <w:rPr>
                <w:rStyle w:val="Hyperlink"/>
                <w:rFonts w:ascii="Dubai" w:hAnsi="Dubai" w:cs="Dubai"/>
                <w:noProof/>
                <w:rtl/>
              </w:rPr>
              <w:t>النتائج الرئيسية</w:t>
            </w:r>
            <w:r>
              <w:rPr>
                <w:noProof/>
                <w:webHidden/>
              </w:rPr>
              <w:tab/>
            </w:r>
            <w:r>
              <w:fldChar w:fldCharType="begin"/>
            </w:r>
            <w:r>
              <w:instrText xml:space="preserve"> PAGEREF _Toc000000003 \h </w:instrText>
            </w:r>
            <w:r>
              <w:rPr>
                <w:noProof/>
                <w:webHidden/>
              </w:rPr>
              <w:fldChar w:fldCharType="separate"/>
            </w:r>
            <w:r>
              <w:rPr>
                <w:noProof/>
                <w:webHidden/>
                <w:rtl/>
              </w:rPr>
              <w:t>1</w:t>
            </w:r>
            <w:r>
              <w:rPr>
                <w:noProof/>
                <w:webHidden/>
              </w:rPr>
              <w:fldChar w:fldCharType="end"/>
            </w:r>
          </w:hyperlink>
        </w:p>
        <w:p>
          <w:pPr>
            <w:pStyle w:val="TOC1"/>
          </w:pPr>
          <w:hyperlink w:anchor="_Toc000000004" w:history="1">
            <w:r>
              <w:rPr>
                <w:rStyle w:val="Hyperlink"/>
                <w:rFonts w:ascii="Dubai" w:hAnsi="Dubai" w:cs="Dubai"/>
                <w:noProof/>
                <w:rtl/>
              </w:rPr>
              <w:t>ثانياً: المنهجية وطبيعة المصادر</w:t>
            </w:r>
            <w:r>
              <w:rPr>
                <w:noProof/>
                <w:webHidden/>
              </w:rPr>
              <w:tab/>
            </w:r>
            <w:r>
              <w:fldChar w:fldCharType="begin"/>
            </w:r>
            <w:r>
              <w:instrText xml:space="preserve"> PAGEREF _Toc000000004 \h </w:instrText>
            </w:r>
            <w:r>
              <w:rPr>
                <w:noProof/>
                <w:webHidden/>
              </w:rPr>
              <w:fldChar w:fldCharType="separate"/>
            </w:r>
            <w:r>
              <w:rPr>
                <w:noProof/>
                <w:webHidden/>
                <w:rtl/>
              </w:rPr>
              <w:t>1</w:t>
            </w:r>
            <w:r>
              <w:rPr>
                <w:noProof/>
                <w:webHidden/>
              </w:rPr>
              <w:fldChar w:fldCharType="end"/>
            </w:r>
          </w:hyperlink>
        </w:p>
        <w:p>
          <w:pPr>
            <w:pStyle w:val="TOC2"/>
          </w:pPr>
          <w:hyperlink w:anchor="_Toc000000005" w:history="1">
            <w:r>
              <w:rPr>
                <w:rStyle w:val="Hyperlink"/>
                <w:rFonts w:ascii="Dubai" w:hAnsi="Dubai" w:cs="Dubai"/>
                <w:noProof/>
                <w:rtl/>
              </w:rPr>
              <w:t>2.1  المصادر المُحلَّلة</w:t>
            </w:r>
            <w:r>
              <w:rPr>
                <w:noProof/>
                <w:webHidden/>
              </w:rPr>
              <w:tab/>
            </w:r>
            <w:r>
              <w:fldChar w:fldCharType="begin"/>
            </w:r>
            <w:r>
              <w:instrText xml:space="preserve"> PAGEREF _Toc000000005 \h </w:instrText>
            </w:r>
            <w:r>
              <w:rPr>
                <w:noProof/>
                <w:webHidden/>
              </w:rPr>
              <w:fldChar w:fldCharType="separate"/>
            </w:r>
            <w:r>
              <w:rPr>
                <w:noProof/>
                <w:webHidden/>
                <w:rtl/>
              </w:rPr>
              <w:t>1</w:t>
            </w:r>
            <w:r>
              <w:rPr>
                <w:noProof/>
                <w:webHidden/>
              </w:rPr>
              <w:fldChar w:fldCharType="end"/>
            </w:r>
          </w:hyperlink>
        </w:p>
        <w:p>
          <w:pPr>
            <w:pStyle w:val="TOC2"/>
          </w:pPr>
          <w:hyperlink w:anchor="_Toc000000006" w:history="1">
            <w:r>
              <w:rPr>
                <w:rStyle w:val="Hyperlink"/>
                <w:rFonts w:ascii="Dubai" w:hAnsi="Dubai" w:cs="Dubai"/>
                <w:noProof/>
                <w:rtl/>
              </w:rPr>
              <w:t>2.2  منهجية التصنيف</w:t>
            </w:r>
            <w:r>
              <w:rPr>
                <w:noProof/>
                <w:webHidden/>
              </w:rPr>
              <w:tab/>
            </w:r>
            <w:r>
              <w:fldChar w:fldCharType="begin"/>
            </w:r>
            <w:r>
              <w:instrText xml:space="preserve"> PAGEREF _Toc000000006 \h </w:instrText>
            </w:r>
            <w:r>
              <w:rPr>
                <w:noProof/>
                <w:webHidden/>
              </w:rPr>
              <w:fldChar w:fldCharType="separate"/>
            </w:r>
            <w:r>
              <w:rPr>
                <w:noProof/>
                <w:webHidden/>
                <w:rtl/>
              </w:rPr>
              <w:t>1</w:t>
            </w:r>
            <w:r>
              <w:rPr>
                <w:noProof/>
                <w:webHidden/>
              </w:rPr>
              <w:fldChar w:fldCharType="end"/>
            </w:r>
          </w:hyperlink>
        </w:p>
        <w:p>
          <w:pPr>
            <w:pStyle w:val="TOC2"/>
          </w:pPr>
          <w:hyperlink w:anchor="_Toc000000007" w:history="1">
            <w:r>
              <w:rPr>
                <w:rStyle w:val="Hyperlink"/>
                <w:rFonts w:ascii="Dubai" w:hAnsi="Dubai" w:cs="Dubai"/>
                <w:noProof/>
                <w:rtl/>
              </w:rPr>
              <w:t>2.3  الحقول المُحلَّلة</w:t>
            </w:r>
            <w:r>
              <w:rPr>
                <w:noProof/>
                <w:webHidden/>
              </w:rPr>
              <w:tab/>
            </w:r>
            <w:r>
              <w:fldChar w:fldCharType="begin"/>
            </w:r>
            <w:r>
              <w:instrText xml:space="preserve"> PAGEREF _Toc000000007 \h </w:instrText>
            </w:r>
            <w:r>
              <w:rPr>
                <w:noProof/>
                <w:webHidden/>
              </w:rPr>
              <w:fldChar w:fldCharType="separate"/>
            </w:r>
            <w:r>
              <w:rPr>
                <w:noProof/>
                <w:webHidden/>
                <w:rtl/>
              </w:rPr>
              <w:t>1</w:t>
            </w:r>
            <w:r>
              <w:rPr>
                <w:noProof/>
                <w:webHidden/>
              </w:rPr>
              <w:fldChar w:fldCharType="end"/>
            </w:r>
          </w:hyperlink>
        </w:p>
        <w:p>
          <w:pPr>
            <w:pStyle w:val="TOC1"/>
          </w:pPr>
          <w:hyperlink w:anchor="_Toc000000008" w:history="1">
            <w:r>
              <w:rPr>
                <w:rStyle w:val="Hyperlink"/>
                <w:rFonts w:ascii="Dubai" w:hAnsi="Dubai" w:cs="Dubai"/>
                <w:noProof/>
                <w:rtl/>
              </w:rPr>
              <w:t>ثالثاً: التحليل الأول — خريطة تصنيف الطلبات</w:t>
            </w:r>
            <w:r>
              <w:rPr>
                <w:noProof/>
                <w:webHidden/>
              </w:rPr>
              <w:tab/>
            </w:r>
            <w:r>
              <w:fldChar w:fldCharType="begin"/>
            </w:r>
            <w:r>
              <w:instrText xml:space="preserve"> PAGEREF _Toc000000008 \h </w:instrText>
            </w:r>
            <w:r>
              <w:rPr>
                <w:noProof/>
                <w:webHidden/>
              </w:rPr>
              <w:fldChar w:fldCharType="separate"/>
            </w:r>
            <w:r>
              <w:rPr>
                <w:noProof/>
                <w:webHidden/>
                <w:rtl/>
              </w:rPr>
              <w:t>1</w:t>
            </w:r>
            <w:r>
              <w:rPr>
                <w:noProof/>
                <w:webHidden/>
              </w:rPr>
              <w:fldChar w:fldCharType="end"/>
            </w:r>
          </w:hyperlink>
        </w:p>
        <w:p>
          <w:pPr>
            <w:pStyle w:val="TOC2"/>
          </w:pPr>
          <w:hyperlink w:anchor="_Toc000000009" w:history="1">
            <w:r>
              <w:rPr>
                <w:rStyle w:val="Hyperlink"/>
                <w:rFonts w:ascii="Dubai" w:hAnsi="Dubai" w:cs="Dubai"/>
                <w:noProof/>
                <w:rtl/>
              </w:rPr>
              <w:t>3.1  التوزيع الفعلي لأنواع التواصل</w:t>
            </w:r>
            <w:r>
              <w:rPr>
                <w:noProof/>
                <w:webHidden/>
              </w:rPr>
              <w:tab/>
            </w:r>
            <w:r>
              <w:fldChar w:fldCharType="begin"/>
            </w:r>
            <w:r>
              <w:instrText xml:space="preserve"> PAGEREF _Toc000000009 \h </w:instrText>
            </w:r>
            <w:r>
              <w:rPr>
                <w:noProof/>
                <w:webHidden/>
              </w:rPr>
              <w:fldChar w:fldCharType="separate"/>
            </w:r>
            <w:r>
              <w:rPr>
                <w:noProof/>
                <w:webHidden/>
                <w:rtl/>
              </w:rPr>
              <w:t>1</w:t>
            </w:r>
            <w:r>
              <w:rPr>
                <w:noProof/>
                <w:webHidden/>
              </w:rPr>
              <w:fldChar w:fldCharType="end"/>
            </w:r>
          </w:hyperlink>
        </w:p>
        <w:p>
          <w:pPr>
            <w:pStyle w:val="TOC2"/>
          </w:pPr>
          <w:hyperlink w:anchor="_Toc000000010" w:history="1">
            <w:r>
              <w:rPr>
                <w:rStyle w:val="Hyperlink"/>
                <w:rFonts w:ascii="Dubai" w:hAnsi="Dubai" w:cs="Dubai"/>
                <w:noProof/>
                <w:rtl/>
              </w:rPr>
              <w:t>3.2  دقة التصنيف — 86.0% من الحالات تم إعادة تصنيفها</w:t>
            </w:r>
            <w:r>
              <w:rPr>
                <w:noProof/>
                <w:webHidden/>
              </w:rPr>
              <w:tab/>
            </w:r>
            <w:r>
              <w:fldChar w:fldCharType="begin"/>
            </w:r>
            <w:r>
              <w:instrText xml:space="preserve"> PAGEREF _Toc000000010 \h </w:instrText>
            </w:r>
            <w:r>
              <w:rPr>
                <w:noProof/>
                <w:webHidden/>
              </w:rPr>
              <w:fldChar w:fldCharType="separate"/>
            </w:r>
            <w:r>
              <w:rPr>
                <w:noProof/>
                <w:webHidden/>
                <w:rtl/>
              </w:rPr>
              <w:t>1</w:t>
            </w:r>
            <w:r>
              <w:rPr>
                <w:noProof/>
                <w:webHidden/>
              </w:rPr>
              <w:fldChar w:fldCharType="end"/>
            </w:r>
          </w:hyperlink>
        </w:p>
        <w:p>
          <w:pPr>
            <w:pStyle w:val="TOC2"/>
          </w:pPr>
          <w:hyperlink w:anchor="_Toc000000011" w:history="1">
            <w:r>
              <w:rPr>
                <w:rStyle w:val="Hyperlink"/>
                <w:rFonts w:ascii="Dubai" w:hAnsi="Dubai" w:cs="Dubai"/>
                <w:noProof/>
                <w:rtl/>
              </w:rPr>
              <w:t>3.3  تفصيل الشكاوى (705 حالة — 65.2%)</w:t>
            </w:r>
            <w:r>
              <w:rPr>
                <w:noProof/>
                <w:webHidden/>
              </w:rPr>
              <w:tab/>
            </w:r>
            <w:r>
              <w:fldChar w:fldCharType="begin"/>
            </w:r>
            <w:r>
              <w:instrText xml:space="preserve"> PAGEREF _Toc000000011 \h </w:instrText>
            </w:r>
            <w:r>
              <w:rPr>
                <w:noProof/>
                <w:webHidden/>
              </w:rPr>
              <w:fldChar w:fldCharType="separate"/>
            </w:r>
            <w:r>
              <w:rPr>
                <w:noProof/>
                <w:webHidden/>
                <w:rtl/>
              </w:rPr>
              <w:t>1</w:t>
            </w:r>
            <w:r>
              <w:rPr>
                <w:noProof/>
                <w:webHidden/>
              </w:rPr>
              <w:fldChar w:fldCharType="end"/>
            </w:r>
          </w:hyperlink>
        </w:p>
        <w:p>
          <w:pPr>
            <w:pStyle w:val="TOC2"/>
          </w:pPr>
          <w:hyperlink w:anchor="_Toc000000012" w:history="1">
            <w:r>
              <w:rPr>
                <w:rStyle w:val="Hyperlink"/>
                <w:rFonts w:ascii="Dubai" w:hAnsi="Dubai" w:cs="Dubai"/>
                <w:noProof/>
                <w:rtl/>
              </w:rPr>
              <w:t>3.4  تفصيل الطلبات والاستفسارات</w:t>
            </w:r>
            <w:r>
              <w:rPr>
                <w:noProof/>
                <w:webHidden/>
              </w:rPr>
              <w:tab/>
            </w:r>
            <w:r>
              <w:fldChar w:fldCharType="begin"/>
            </w:r>
            <w:r>
              <w:instrText xml:space="preserve"> PAGEREF _Toc000000012 \h </w:instrText>
            </w:r>
            <w:r>
              <w:rPr>
                <w:noProof/>
                <w:webHidden/>
              </w:rPr>
              <w:fldChar w:fldCharType="separate"/>
            </w:r>
            <w:r>
              <w:rPr>
                <w:noProof/>
                <w:webHidden/>
                <w:rtl/>
              </w:rPr>
              <w:t>1</w:t>
            </w:r>
            <w:r>
              <w:rPr>
                <w:noProof/>
                <w:webHidden/>
              </w:rPr>
              <w:fldChar w:fldCharType="end"/>
            </w:r>
          </w:hyperlink>
        </w:p>
        <w:p>
          <w:pPr>
            <w:pStyle w:val="TOC2"/>
          </w:pPr>
          <w:hyperlink w:anchor="_Toc000000013" w:history="1">
            <w:r>
              <w:rPr>
                <w:rStyle w:val="Hyperlink"/>
                <w:rFonts w:ascii="Dubai" w:hAnsi="Dubai" w:cs="Dubai"/>
                <w:noProof/>
                <w:rtl/>
              </w:rPr>
              <w:t>3.5  أبرز الاستفسارات المتكررة (147 حالة — 13.6%) — وهي الفئة الأكثر قابليةً للتحويل إلى خدمة ذاتية رقمية كاملة</w:t>
            </w:r>
            <w:r>
              <w:rPr>
                <w:noProof/>
                <w:webHidden/>
              </w:rPr>
              <w:tab/>
            </w:r>
            <w:r>
              <w:fldChar w:fldCharType="begin"/>
            </w:r>
            <w:r>
              <w:instrText xml:space="preserve"> PAGEREF _Toc000000013 \h </w:instrText>
            </w:r>
            <w:r>
              <w:rPr>
                <w:noProof/>
                <w:webHidden/>
              </w:rPr>
              <w:fldChar w:fldCharType="separate"/>
            </w:r>
            <w:r>
              <w:rPr>
                <w:noProof/>
                <w:webHidden/>
                <w:rtl/>
              </w:rPr>
              <w:t>1</w:t>
            </w:r>
            <w:r>
              <w:rPr>
                <w:noProof/>
                <w:webHidden/>
              </w:rPr>
              <w:fldChar w:fldCharType="end"/>
            </w:r>
          </w:hyperlink>
        </w:p>
        <w:p>
          <w:pPr>
            <w:pStyle w:val="TOC1"/>
          </w:pPr>
          <w:hyperlink w:anchor="_Toc000000014" w:history="1">
            <w:r>
              <w:rPr>
                <w:rStyle w:val="Hyperlink"/>
                <w:rFonts w:ascii="Dubai" w:hAnsi="Dubai" w:cs="Dubai"/>
                <w:noProof/>
                <w:rtl/>
              </w:rPr>
              <w:t>رابعاً: التحليل الثاني — التحديات في رحلة المتعامل</w:t>
            </w:r>
            <w:r>
              <w:rPr>
                <w:noProof/>
                <w:webHidden/>
              </w:rPr>
              <w:tab/>
            </w:r>
            <w:r>
              <w:fldChar w:fldCharType="begin"/>
            </w:r>
            <w:r>
              <w:instrText xml:space="preserve"> PAGEREF _Toc000000014 \h </w:instrText>
            </w:r>
            <w:r>
              <w:rPr>
                <w:noProof/>
                <w:webHidden/>
              </w:rPr>
              <w:fldChar w:fldCharType="separate"/>
            </w:r>
            <w:r>
              <w:rPr>
                <w:noProof/>
                <w:webHidden/>
                <w:rtl/>
              </w:rPr>
              <w:t>1</w:t>
            </w:r>
            <w:r>
              <w:rPr>
                <w:noProof/>
                <w:webHidden/>
              </w:rPr>
              <w:fldChar w:fldCharType="end"/>
            </w:r>
          </w:hyperlink>
        </w:p>
        <w:p>
          <w:pPr>
            <w:pStyle w:val="TOC1"/>
          </w:pPr>
          <w:hyperlink w:anchor="_Toc000000015" w:history="1">
            <w:r>
              <w:rPr>
                <w:rStyle w:val="Hyperlink"/>
                <w:rFonts w:ascii="Dubai" w:hAnsi="Dubai" w:cs="Dubai"/>
                <w:noProof/>
                <w:rtl/>
              </w:rPr>
              <w:t>خامساً: التحليل الثالث — تحليل الفجوات الرقمية</w:t>
            </w:r>
            <w:r>
              <w:rPr>
                <w:noProof/>
                <w:webHidden/>
              </w:rPr>
              <w:tab/>
            </w:r>
            <w:r>
              <w:fldChar w:fldCharType="begin"/>
            </w:r>
            <w:r>
              <w:instrText xml:space="preserve"> PAGEREF _Toc000000015 \h </w:instrText>
            </w:r>
            <w:r>
              <w:rPr>
                <w:noProof/>
                <w:webHidden/>
              </w:rPr>
              <w:fldChar w:fldCharType="separate"/>
            </w:r>
            <w:r>
              <w:rPr>
                <w:noProof/>
                <w:webHidden/>
                <w:rtl/>
              </w:rPr>
              <w:t>1</w:t>
            </w:r>
            <w:r>
              <w:rPr>
                <w:noProof/>
                <w:webHidden/>
              </w:rPr>
              <w:fldChar w:fldCharType="end"/>
            </w:r>
          </w:hyperlink>
        </w:p>
        <w:p>
          <w:pPr>
            <w:pStyle w:val="TOC2"/>
          </w:pPr>
          <w:hyperlink w:anchor="_Toc000000016" w:history="1">
            <w:r>
              <w:rPr>
                <w:rStyle w:val="Hyperlink"/>
                <w:rFonts w:ascii="Dubai" w:hAnsi="Dubai" w:cs="Dubai"/>
                <w:noProof/>
                <w:rtl/>
              </w:rPr>
              <w:t>5.1  جدول الفجوات المُدمج</w:t>
            </w:r>
            <w:r>
              <w:rPr>
                <w:noProof/>
                <w:webHidden/>
              </w:rPr>
              <w:tab/>
            </w:r>
            <w:r>
              <w:fldChar w:fldCharType="begin"/>
            </w:r>
            <w:r>
              <w:instrText xml:space="preserve"> PAGEREF _Toc000000016 \h </w:instrText>
            </w:r>
            <w:r>
              <w:rPr>
                <w:noProof/>
                <w:webHidden/>
              </w:rPr>
              <w:fldChar w:fldCharType="separate"/>
            </w:r>
            <w:r>
              <w:rPr>
                <w:noProof/>
                <w:webHidden/>
                <w:rtl/>
              </w:rPr>
              <w:t>1</w:t>
            </w:r>
            <w:r>
              <w:rPr>
                <w:noProof/>
                <w:webHidden/>
              </w:rPr>
              <w:fldChar w:fldCharType="end"/>
            </w:r>
          </w:hyperlink>
        </w:p>
        <w:p>
          <w:pPr>
            <w:pStyle w:val="TOC2"/>
          </w:pPr>
          <w:hyperlink w:anchor="_Toc000000017" w:history="1">
            <w:r>
              <w:rPr>
                <w:rStyle w:val="Hyperlink"/>
                <w:rFonts w:ascii="Dubai" w:hAnsi="Dubai" w:cs="Dubai"/>
                <w:noProof/>
                <w:rtl/>
              </w:rPr>
              <w:t>5.2  الأسباب الجذرية لاستمرار المشكلات</w:t>
            </w:r>
            <w:r>
              <w:rPr>
                <w:noProof/>
                <w:webHidden/>
              </w:rPr>
              <w:tab/>
            </w:r>
            <w:r>
              <w:fldChar w:fldCharType="begin"/>
            </w:r>
            <w:r>
              <w:instrText xml:space="preserve"> PAGEREF _Toc000000017 \h </w:instrText>
            </w:r>
            <w:r>
              <w:rPr>
                <w:noProof/>
                <w:webHidden/>
              </w:rPr>
              <w:fldChar w:fldCharType="separate"/>
            </w:r>
            <w:r>
              <w:rPr>
                <w:noProof/>
                <w:webHidden/>
                <w:rtl/>
              </w:rPr>
              <w:t>1</w:t>
            </w:r>
            <w:r>
              <w:rPr>
                <w:noProof/>
                <w:webHidden/>
              </w:rPr>
              <w:fldChar w:fldCharType="end"/>
            </w:r>
          </w:hyperlink>
        </w:p>
        <w:p>
          <w:pPr>
            <w:pStyle w:val="TOC1"/>
          </w:pPr>
          <w:hyperlink w:anchor="_Toc000000018" w:history="1">
            <w:r>
              <w:rPr>
                <w:rStyle w:val="Hyperlink"/>
                <w:rFonts w:ascii="Dubai" w:hAnsi="Dubai" w:cs="Dubai"/>
                <w:noProof/>
                <w:rtl/>
              </w:rPr>
              <w:t>سادساً: التحليل الرابع — خطة التحويل الرقمي</w:t>
            </w:r>
            <w:r>
              <w:rPr>
                <w:noProof/>
                <w:webHidden/>
              </w:rPr>
              <w:tab/>
            </w:r>
            <w:r>
              <w:fldChar w:fldCharType="begin"/>
            </w:r>
            <w:r>
              <w:instrText xml:space="preserve"> PAGEREF _Toc000000018 \h </w:instrText>
            </w:r>
            <w:r>
              <w:rPr>
                <w:noProof/>
                <w:webHidden/>
              </w:rPr>
              <w:fldChar w:fldCharType="separate"/>
            </w:r>
            <w:r>
              <w:rPr>
                <w:noProof/>
                <w:webHidden/>
                <w:rtl/>
              </w:rPr>
              <w:t>1</w:t>
            </w:r>
            <w:r>
              <w:rPr>
                <w:noProof/>
                <w:webHidden/>
              </w:rPr>
              <w:fldChar w:fldCharType="end"/>
            </w:r>
          </w:hyperlink>
        </w:p>
        <w:p>
          <w:pPr>
            <w:pStyle w:val="TOC2"/>
          </w:pPr>
          <w:hyperlink w:anchor="_Toc000000019" w:history="1">
            <w:r>
              <w:rPr>
                <w:rStyle w:val="Hyperlink"/>
                <w:rFonts w:ascii="Dubai" w:hAnsi="Dubai" w:cs="Dubai"/>
                <w:noProof/>
                <w:rtl/>
              </w:rPr>
              <w:t>6.1  الأسئلة الشائعة ذات الأولوية</w:t>
            </w:r>
            <w:r>
              <w:rPr>
                <w:noProof/>
                <w:webHidden/>
              </w:rPr>
              <w:tab/>
            </w:r>
            <w:r>
              <w:fldChar w:fldCharType="begin"/>
            </w:r>
            <w:r>
              <w:instrText xml:space="preserve"> PAGEREF _Toc000000019 \h </w:instrText>
            </w:r>
            <w:r>
              <w:rPr>
                <w:noProof/>
                <w:webHidden/>
              </w:rPr>
              <w:fldChar w:fldCharType="separate"/>
            </w:r>
            <w:r>
              <w:rPr>
                <w:noProof/>
                <w:webHidden/>
                <w:rtl/>
              </w:rPr>
              <w:t>1</w:t>
            </w:r>
            <w:r>
              <w:rPr>
                <w:noProof/>
                <w:webHidden/>
              </w:rPr>
              <w:fldChar w:fldCharType="end"/>
            </w:r>
          </w:hyperlink>
        </w:p>
        <w:p>
          <w:pPr>
            <w:pStyle w:val="TOC2"/>
          </w:pPr>
          <w:hyperlink w:anchor="_Toc000000020" w:history="1">
            <w:r>
              <w:rPr>
                <w:rStyle w:val="Hyperlink"/>
                <w:rFonts w:ascii="Dubai" w:hAnsi="Dubai" w:cs="Dubai"/>
                <w:noProof/>
                <w:rtl/>
              </w:rPr>
              <w:t>6.2  مسار إلغاء 30 حالة تواصل بالإشعار الاستباقي</w:t>
            </w:r>
            <w:r>
              <w:rPr>
                <w:noProof/>
                <w:webHidden/>
              </w:rPr>
              <w:tab/>
            </w:r>
            <w:r>
              <w:fldChar w:fldCharType="begin"/>
            </w:r>
            <w:r>
              <w:instrText xml:space="preserve"> PAGEREF _Toc000000020 \h </w:instrText>
            </w:r>
            <w:r>
              <w:rPr>
                <w:noProof/>
                <w:webHidden/>
              </w:rPr>
              <w:fldChar w:fldCharType="separate"/>
            </w:r>
            <w:r>
              <w:rPr>
                <w:noProof/>
                <w:webHidden/>
                <w:rtl/>
              </w:rPr>
              <w:t>1</w:t>
            </w:r>
            <w:r>
              <w:rPr>
                <w:noProof/>
                <w:webHidden/>
              </w:rPr>
              <w:fldChar w:fldCharType="end"/>
            </w:r>
          </w:hyperlink>
        </w:p>
        <w:p>
          <w:pPr>
            <w:pStyle w:val="TOC1"/>
          </w:pPr>
          <w:hyperlink w:anchor="_Toc000000021" w:history="1">
            <w:r>
              <w:rPr>
                <w:rStyle w:val="Hyperlink"/>
                <w:rFonts w:ascii="Dubai" w:hAnsi="Dubai" w:cs="Dubai"/>
                <w:noProof/>
                <w:rtl/>
              </w:rPr>
              <w:t>سابعاً: حالات الاستخدام المدعومة بالذكاء الاصطناعي</w:t>
            </w:r>
            <w:r>
              <w:rPr>
                <w:noProof/>
                <w:webHidden/>
              </w:rPr>
              <w:tab/>
            </w:r>
            <w:r>
              <w:fldChar w:fldCharType="begin"/>
            </w:r>
            <w:r>
              <w:instrText xml:space="preserve"> PAGEREF _Toc000000021 \h </w:instrText>
            </w:r>
            <w:r>
              <w:rPr>
                <w:noProof/>
                <w:webHidden/>
              </w:rPr>
              <w:fldChar w:fldCharType="separate"/>
            </w:r>
            <w:r>
              <w:rPr>
                <w:noProof/>
                <w:webHidden/>
                <w:rtl/>
              </w:rPr>
              <w:t>1</w:t>
            </w:r>
            <w:r>
              <w:rPr>
                <w:noProof/>
                <w:webHidden/>
              </w:rPr>
              <w:fldChar w:fldCharType="end"/>
            </w:r>
          </w:hyperlink>
        </w:p>
        <w:p>
          <w:pPr>
            <w:pStyle w:val="TOC1"/>
          </w:pPr>
          <w:hyperlink w:anchor="_Toc000000022" w:history="1">
            <w:r>
              <w:rPr>
                <w:rStyle w:val="Hyperlink"/>
                <w:rFonts w:ascii="Dubai" w:hAnsi="Dubai" w:cs="Dubai"/>
                <w:noProof/>
                <w:rtl/>
              </w:rPr>
              <w:t>ثامناً: خارطة الطريق التحسينية المقترحة</w:t>
            </w:r>
            <w:r>
              <w:rPr>
                <w:noProof/>
                <w:webHidden/>
              </w:rPr>
              <w:tab/>
            </w:r>
            <w:r>
              <w:fldChar w:fldCharType="begin"/>
            </w:r>
            <w:r>
              <w:instrText xml:space="preserve"> PAGEREF _Toc000000022 \h </w:instrText>
            </w:r>
            <w:r>
              <w:rPr>
                <w:noProof/>
                <w:webHidden/>
              </w:rPr>
              <w:fldChar w:fldCharType="separate"/>
            </w:r>
            <w:r>
              <w:rPr>
                <w:noProof/>
                <w:webHidden/>
                <w:rtl/>
              </w:rPr>
              <w:t>1</w:t>
            </w:r>
            <w:r>
              <w:rPr>
                <w:noProof/>
                <w:webHidden/>
              </w:rPr>
              <w:fldChar w:fldCharType="end"/>
            </w:r>
          </w:hyperlink>
        </w:p>
        <w:p>
          <w:pPr>
            <w:pStyle w:val="TOC1"/>
          </w:pPr>
          <w:hyperlink w:anchor="_Toc000000023" w:history="1">
            <w:r>
              <w:rPr>
                <w:rStyle w:val="Hyperlink"/>
                <w:rFonts w:ascii="Dubai" w:hAnsi="Dubai" w:cs="Dubai"/>
                <w:noProof/>
                <w:rtl/>
              </w:rPr>
              <w:t>تاسعاً: الخلاصة — من البيانات إلى القرار</w:t>
            </w:r>
            <w:r>
              <w:rPr>
                <w:noProof/>
                <w:webHidden/>
              </w:rPr>
              <w:tab/>
            </w:r>
            <w:r>
              <w:fldChar w:fldCharType="begin"/>
            </w:r>
            <w:r>
              <w:instrText xml:space="preserve"> PAGEREF _Toc000000023 \h </w:instrText>
            </w:r>
            <w:r>
              <w:rPr>
                <w:noProof/>
                <w:webHidden/>
              </w:rPr>
              <w:fldChar w:fldCharType="separate"/>
            </w:r>
            <w:r>
              <w:rPr>
                <w:noProof/>
                <w:webHidden/>
                <w:rtl/>
              </w:rPr>
              <w:t>1</w:t>
            </w:r>
            <w:r>
              <w:rPr>
                <w:noProof/>
                <w:webHidden/>
              </w:rPr>
              <w:fldChar w:fldCharType="end"/>
            </w:r>
          </w:hyperlink>
        </w:p>
        <w:p>
          <w:pPr>
            <w:pStyle w:val="TOC2"/>
          </w:pPr>
          <w:hyperlink w:anchor="_Toc000000024" w:history="1">
            <w:r>
              <w:rPr>
                <w:rStyle w:val="Hyperlink"/>
                <w:rFonts w:ascii="Dubai" w:hAnsi="Dubai" w:cs="Dubai"/>
                <w:noProof/>
                <w:rtl/>
              </w:rPr>
              <w:t>المحاور الثلاثة للتحول</w:t>
            </w:r>
            <w:r>
              <w:rPr>
                <w:noProof/>
                <w:webHidden/>
              </w:rPr>
              <w:tab/>
            </w:r>
            <w:r>
              <w:fldChar w:fldCharType="begin"/>
            </w:r>
            <w:r>
              <w:instrText xml:space="preserve"> PAGEREF _Toc000000024 \h </w:instrText>
            </w:r>
            <w:r>
              <w:rPr>
                <w:noProof/>
                <w:webHidden/>
              </w:rPr>
              <w:fldChar w:fldCharType="separate"/>
            </w:r>
            <w:r>
              <w:rPr>
                <w:noProof/>
                <w:webHidden/>
                <w:rtl/>
              </w:rPr>
              <w:t>1</w:t>
            </w:r>
            <w:r>
              <w:rPr>
                <w:noProof/>
                <w:webHidden/>
              </w:rPr>
              <w:fldChar w:fldCharType="end"/>
            </w:r>
          </w:hyperlink>
        </w:p>
        <w:p>
          <w:pPr>
            <w:pStyle w:val="TOC2"/>
          </w:pPr>
          <w:hyperlink w:anchor="_Toc000000025" w:history="1">
            <w:r>
              <w:rPr>
                <w:rStyle w:val="Hyperlink"/>
                <w:rFonts w:ascii="Dubai" w:hAnsi="Dubai" w:cs="Dubai"/>
                <w:noProof/>
                <w:rtl/>
              </w:rPr>
              <w:t>الأثر المجمّع المتوقع:</w:t>
            </w:r>
            <w:r>
              <w:rPr>
                <w:noProof/>
                <w:webHidden/>
              </w:rPr>
              <w:tab/>
            </w:r>
            <w:r>
              <w:fldChar w:fldCharType="begin"/>
            </w:r>
            <w:r>
              <w:instrText xml:space="preserve"> PAGEREF _Toc000000025 \h </w:instrText>
            </w:r>
            <w:r>
              <w:rPr>
                <w:noProof/>
                <w:webHidden/>
              </w:rPr>
              <w:fldChar w:fldCharType="separate"/>
            </w:r>
            <w:r>
              <w:rPr>
                <w:noProof/>
                <w:webHidden/>
                <w:rtl/>
              </w:rPr>
              <w:t>1</w:t>
            </w:r>
            <w:r>
              <w:rPr>
                <w:noProof/>
                <w:webHidden/>
              </w:rPr>
              <w:fldChar w:fldCharType="end"/>
            </w:r>
          </w:hyperlink>
          <w:r>
            <w:fldChar w:fldCharType="end"/>
          </w:r>
        </w:p>
      </w:sdtContent>
    </w:sdt>
    <w:p>
      <w:r>
        <w:br w:type="page"/>
      </w:r>
    </w:p>
    <w:p>
      <w:pPr>
        <w:bidi w:val="1"/>
        <w:pStyle w:val="Heading1"/>
        <w:jc w:val="left"/>
      </w:pPr>
      <w:r>
        <w:rPr>
          <w:rFonts w:ascii="Dubai" w:hAnsi="Dubai" w:eastAsia="Dubai" w:cs="Dubai"/>
          <w:b/>
          <w:color w:val="B68A35"/>
          <w:sz w:val="32"/>
          <w:szCs w:val="32"/>
          <w:rtl/>
        </w:rPr>
        <w:t>أولاً: الملخص التنفيذي — التحليلات الرئيسية</w:t>
      </w:r>
      <w:bookmarkStart w:id="2" w:name="_Toc000000002"/>
      <w:bookmarkEnd w:id="2"/>
    </w:p>
    <w:p>
      <w:pPr>
        <w:bidi w:val="1"/>
        <w:spacing w:after="120"/>
        <w:jc w:val="both"/>
      </w:pPr>
      <w:r>
        <w:rPr>
          <w:rFonts w:ascii="Dubai" w:hAnsi="Dubai" w:eastAsia="Dubai" w:cs="Dubai"/>
          <w:b w:val="0"/>
          <w:i w:val="0"/>
          <w:color w:val="000000"/>
          <w:sz w:val="24"/>
          <w:szCs w:val="24"/>
          <w:u w:val="none"/>
          <w:rtl/>
        </w:rPr>
        <w:t>يُقدّم هذا التقرير تحليلًا منهجيًا لـ 1081 حالة تواصل واردة من تصدير نظام إدارة علاقات العملاء للفترة من يناير حتى ديسمبر 2025، ومقارنتها بما ورد في دليل الخدمات والأسئلة الشائعة لاختبار كفاءة المحتوى ووضوح الإجراءات. يهدف التقرير إلى تحويل بيانات الشكاوى والاستفسارات إلى قرارات عملية قابلة للتنفيذ، من خلال ربط أنماط حالات المتعاملين بالفجوات المحددة في الدليل وليس الاكتفاء بعرض المؤشرات الرقمية. المُستجد الجوهري: أظهرت إعادة التصنيف أن 65.2% من إجمالي عبء العمل هي شكاوى فعلية (705 حالات)، بعد اكتشاف أن 86.0% من الحالات كانت مُصنّفة خطأ في النظام.</w:t>
      </w:r>
    </w:p>
    <w:p>
      <w:pPr>
        <w:bidi w:val="1"/>
        <w:pStyle w:val="Heading2"/>
        <w:jc w:val="left"/>
      </w:pPr>
      <w:r>
        <w:rPr>
          <w:rFonts w:ascii="Dubai" w:hAnsi="Dubai" w:eastAsia="Dubai" w:cs="Dubai"/>
          <w:b/>
          <w:color w:val="B68A35"/>
          <w:sz w:val="26"/>
          <w:szCs w:val="26"/>
          <w:rtl/>
        </w:rPr>
        <w:t>النتائج الرئيسية</w:t>
      </w:r>
      <w:bookmarkStart w:id="3" w:name="_Toc000000003"/>
      <w:bookmarkEnd w:id="3"/>
    </w:p>
    <w:p>
      <w:pPr>
        <w:bidi w:val="1"/>
        <w:spacing w:after="120"/>
        <w:jc w:val="both"/>
      </w:pPr>
      <w:r>
        <w:rPr>
          <w:rFonts w:ascii="Dubai" w:hAnsi="Dubai" w:eastAsia="Dubai" w:cs="Dubai"/>
          <w:b w:val="0"/>
          <w:i w:val="0"/>
          <w:color w:val="000000"/>
          <w:sz w:val="24"/>
          <w:szCs w:val="24"/>
          <w:u w:val="none"/>
          <w:rtl/>
        </w:rPr>
        <w:t>الرسالة الجوهرية: يكشف هذا التحليل عن خلل منظومي مزدوج يتمثل في تصنيف غير دقيق لـ 86.0% من الحالات مع وجود 5 نقاط احتكاك مميزة تولّد الجزء الأكبر من الشكاوى. معالجة هذا الخلل عبر تحسين التصنيف وربط كل نقطة احتكاك بمحتوى وإجراءات واضحة في دليل الخدمات والأسئلة الشائعة تتيح إعادة توجيه 705 شكاوى، وتقليص 155 حالة مرتبطة بالمخالفات الملتبسة و116 حالة مرتبطة بتأخر تسليم الرخص والملكيات، مع استثمار معدل الإغلاق في الموعد البالغ 96.9% كرافعة لتحسين التجربة لا مجرد سرعة الإنجاز. بهذه الخطوات تتحول بيانات 1081 حالة خلال عام واحد إلى محرك لاستراتيجية خدمة متعاملين قائمة على الأدلة وقابلة للقياس المستمر.</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مستوى الأهمية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الوصف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الاكتشاف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كانت 930 من 1081 حالة مُصنَّفة أصلاً بشكل غير صحيح. تمثل هذه الفجوة أساس التحديات التشغيلية المُكتشفة في هذا التحليل.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تصنيف غير دقيق بنسبة 86.0%</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1</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705 حالة من 1081 كانت شكاوى بعد إعادة التصنيف. أكبرها: اعتراض على مخالفة مرورية (189 حالة) وشكوى عن مخالفة مشكوك فيها (155 حالة). هذا التركيز يعكس محور التحسين الأساسي للعمليات.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الشكاوى تهيمن بـ 65.2% على عبء العمل</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تؤثر هذه النقطة على 155 حالة (14.3% من الإجمالي). السبب الجذري: خلل تقني في المنصة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نقطة احتكاك واحدة: صورة المركبة في إشعار المخالفة تُظهر مركبة مختلفة أو المتعامل لم يكن في الفجيرة (155 حالة، 14.3%)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3</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تشترك نقطة احتكاك واحدة في سبب جذري مشترك: تأخر استلام الرخصة أو الملكية المطبوعة وعدم وضوح حالة التوصيل. إجمالي الحالات المتأثرة: 116 حالة. تحسين هذه المجموعة سيسهم بشكل كبير في تقليل الاحتكاكات.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نقطة احتكاك واحدة — غياب معلومات من الدليل (116 حالة)</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4</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إيجابية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تم إغلاق 1048 من 1081 حالة في الوقت المحدد (معدل 96.9%). هذا يثبت القدرة التشغيلية، لكنه لا يعالج الفجوات الهيكلية في الدقة والفهم.</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96.9% إغلاق في الوقت المحدد</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w:t>
            </w:r>
          </w:p>
        </w:tc>
      </w:tr>
    </w:tbl>
    <w:p/>
    <w:p>
      <w:pPr>
        <w:bidi w:val="1"/>
        <w:pStyle w:val="Heading1"/>
        <w:jc w:val="left"/>
      </w:pPr>
      <w:r>
        <w:rPr>
          <w:rFonts w:ascii="Dubai" w:hAnsi="Dubai" w:eastAsia="Dubai" w:cs="Dubai"/>
          <w:b/>
          <w:color w:val="B68A35"/>
          <w:sz w:val="32"/>
          <w:szCs w:val="32"/>
          <w:rtl/>
        </w:rPr>
        <w:t>ثانياً: المنهجية وطبيعة المصادر</w:t>
      </w:r>
      <w:bookmarkStart w:id="4" w:name="_Toc000000004"/>
      <w:bookmarkEnd w:id="4"/>
    </w:p>
    <w:p>
      <w:pPr>
        <w:bidi w:val="1"/>
        <w:pStyle w:val="Heading2"/>
        <w:jc w:val="left"/>
      </w:pPr>
      <w:r>
        <w:rPr>
          <w:rFonts w:ascii="Dubai" w:hAnsi="Dubai" w:eastAsia="Dubai" w:cs="Dubai"/>
          <w:b/>
          <w:color w:val="B68A35"/>
          <w:sz w:val="26"/>
          <w:szCs w:val="26"/>
          <w:rtl/>
        </w:rPr>
        <w:t>2.1  المصادر المُحلَّلة</w:t>
      </w:r>
      <w:bookmarkStart w:id="5" w:name="_Toc000000005"/>
      <w:bookmarkEnd w:id="5"/>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الفترة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الحجم</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الطبيعة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المصدر</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يناير - ديسمبر 2025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1081 حالة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بيانات CRM — نصوص غير مهيكلة (تفاصيل الحالة، الحلول، أسماء الخدمات، وصف الحالة)</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تحليل الاستفسارات</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2025</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160 صفحة، 17 أسئلة مصدقة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يغطي خدمات المرور والترخيص, الخدمات الشرطية, خدمات المؤسسة العقابية والإصلاحية, إدارة العمليات, الخدمات الاستباقية، و2 موضوعاً آخر، مع التحقق من الأسئلة الشائعة وتحليل الفجوات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دليل خدمات العملاء</w:t>
            </w:r>
          </w:p>
        </w:tc>
      </w:tr>
    </w:tbl>
    <w:p/>
    <w:p>
      <w:pPr>
        <w:bidi w:val="1"/>
        <w:pStyle w:val="Heading2"/>
        <w:jc w:val="left"/>
      </w:pPr>
      <w:r>
        <w:rPr>
          <w:rFonts w:ascii="Dubai" w:hAnsi="Dubai" w:eastAsia="Dubai" w:cs="Dubai"/>
          <w:b/>
          <w:color w:val="B68A35"/>
          <w:sz w:val="26"/>
          <w:szCs w:val="26"/>
          <w:rtl/>
        </w:rPr>
        <w:t>2.2  منهجية التصنيف</w:t>
      </w:r>
      <w:bookmarkStart w:id="6" w:name="_Toc000000006"/>
      <w:bookmarkEnd w:id="6"/>
    </w:p>
    <w:p>
      <w:pPr>
        <w:bidi w:val="1"/>
        <w:spacing w:after="120"/>
        <w:jc w:val="both"/>
      </w:pPr>
      <w:r>
        <w:rPr>
          <w:rFonts w:ascii="Dubai" w:hAnsi="Dubai" w:eastAsia="Dubai" w:cs="Dubai"/>
          <w:b w:val="0"/>
          <w:i w:val="0"/>
          <w:color w:val="000000"/>
          <w:sz w:val="24"/>
          <w:szCs w:val="24"/>
          <w:u w:val="none"/>
          <w:rtl/>
        </w:rPr>
        <w:t>يعتمد التحليل على شجرة قرار من أربعة مستويات، حيث طبيعة المطلوب وليس الصياغة هي المعيار الفاصل. يُطرح على كل حالة اختباران متتاليان:</w:t>
      </w:r>
    </w:p>
    <w:p>
      <w:pPr>
        <w:bidi w:val="1"/>
        <w:spacing w:after="120"/>
        <w:jc w:val="both"/>
      </w:pPr>
      <w:r>
        <w:rPr>
          <w:rFonts w:ascii="Dubai" w:hAnsi="Dubai" w:eastAsia="Dubai" w:cs="Dubai"/>
          <w:b w:val="0"/>
          <w:i w:val="0"/>
          <w:color w:val="000000"/>
          <w:sz w:val="24"/>
          <w:szCs w:val="24"/>
          <w:u w:val="none"/>
          <w:rtl/>
        </w:rPr>
        <w:t>(1) الاختبار الأول: هل يُعبّر النص عن استياء، أو إبلاغ عن إخفاق، أو رغبة في تقديم بلاغ رسمي أو اعتراض؟</w:t>
      </w:r>
    </w:p>
    <w:p>
      <w:pPr>
        <w:bidi w:val="1"/>
        <w:spacing w:after="120"/>
        <w:jc w:val="both"/>
      </w:pPr>
      <w:r>
        <w:rPr>
          <w:rFonts w:ascii="Dubai" w:hAnsi="Dubai" w:eastAsia="Dubai" w:cs="Dubai"/>
          <w:b w:val="0"/>
          <w:i w:val="0"/>
          <w:color w:val="000000"/>
          <w:sz w:val="24"/>
          <w:szCs w:val="24"/>
          <w:u w:val="none"/>
          <w:rtl/>
        </w:rPr>
        <w:t>(2) الاختبار الثاني: هل يطلب النص تنفيذ إجراء محدد كتقديم خدمة أو متابعة طلب أو تعديل بيانات، وليس مجرد الحصول على معلومة؟</w:t>
      </w:r>
    </w:p>
    <w:p>
      <w:pPr>
        <w:bidi w:val="1"/>
        <w:spacing w:after="120"/>
        <w:jc w:val="both"/>
      </w:pPr>
      <w:r>
        <w:rPr>
          <w:rFonts w:ascii="Dubai" w:hAnsi="Dubai" w:eastAsia="Dubai" w:cs="Dubai"/>
          <w:b w:val="0"/>
          <w:i w:val="0"/>
          <w:color w:val="000000"/>
          <w:sz w:val="24"/>
          <w:szCs w:val="24"/>
          <w:u w:val="none"/>
          <w:rtl/>
        </w:rPr>
        <w:t>قواعد التصنيف:</w:t>
      </w:r>
    </w:p>
    <w:p>
      <w:pPr>
        <w:bidi w:val="1"/>
        <w:spacing w:after="120"/>
        <w:jc w:val="both"/>
      </w:pPr>
      <w:r>
        <w:rPr>
          <w:rFonts w:ascii="Dubai" w:hAnsi="Dubai" w:eastAsia="Dubai" w:cs="Dubai"/>
          <w:b w:val="0"/>
          <w:i w:val="0"/>
          <w:color w:val="000000"/>
          <w:sz w:val="24"/>
          <w:szCs w:val="24"/>
          <w:u w:val="none"/>
          <w:rtl/>
        </w:rPr>
        <w:t>→ إن كان الجواب نعم على الأول: شكوى (حتى لو تضمّن النص طلباً لاتخاذ إجراء)؛</w:t>
      </w:r>
    </w:p>
    <w:p>
      <w:pPr>
        <w:bidi w:val="1"/>
        <w:spacing w:after="120"/>
        <w:jc w:val="both"/>
      </w:pPr>
      <w:r>
        <w:rPr>
          <w:rFonts w:ascii="Dubai" w:hAnsi="Dubai" w:eastAsia="Dubai" w:cs="Dubai"/>
          <w:b w:val="0"/>
          <w:i w:val="0"/>
          <w:color w:val="000000"/>
          <w:sz w:val="24"/>
          <w:szCs w:val="24"/>
          <w:u w:val="none"/>
          <w:rtl/>
        </w:rPr>
        <w:t>→ إن كان الجواب نعم على الثاني فقط: طلب (دون أن يكون الغرض إبلاغاً عن مشكلة)؛</w:t>
      </w:r>
    </w:p>
    <w:p>
      <w:pPr>
        <w:bidi w:val="1"/>
        <w:spacing w:after="120"/>
        <w:jc w:val="both"/>
      </w:pPr>
      <w:r>
        <w:rPr>
          <w:rFonts w:ascii="Dubai" w:hAnsi="Dubai" w:eastAsia="Dubai" w:cs="Dubai"/>
          <w:b w:val="0"/>
          <w:i w:val="0"/>
          <w:color w:val="000000"/>
          <w:sz w:val="24"/>
          <w:szCs w:val="24"/>
          <w:u w:val="none"/>
          <w:rtl/>
        </w:rPr>
        <w:t>→ إن كان الغرض سؤالاً أو استعلاماً عن معلومة: استفسار؛</w:t>
      </w:r>
    </w:p>
    <w:p>
      <w:pPr>
        <w:bidi w:val="1"/>
        <w:spacing w:after="120"/>
        <w:jc w:val="both"/>
      </w:pPr>
      <w:r>
        <w:rPr>
          <w:rFonts w:ascii="Dubai" w:hAnsi="Dubai" w:eastAsia="Dubai" w:cs="Dubai"/>
          <w:b w:val="0"/>
          <w:i w:val="0"/>
          <w:color w:val="000000"/>
          <w:sz w:val="24"/>
          <w:szCs w:val="24"/>
          <w:u w:val="none"/>
          <w:rtl/>
        </w:rPr>
        <w:t>→ إن كان التعبير عن رضا وثناء: شكر وثناء.</w:t>
      </w:r>
    </w:p>
    <w:p>
      <w:pPr>
        <w:bidi w:val="1"/>
        <w:pStyle w:val="Heading2"/>
        <w:jc w:val="left"/>
      </w:pPr>
      <w:r>
        <w:rPr>
          <w:rFonts w:ascii="Dubai" w:hAnsi="Dubai" w:eastAsia="Dubai" w:cs="Dubai"/>
          <w:b/>
          <w:color w:val="B68A35"/>
          <w:sz w:val="26"/>
          <w:szCs w:val="26"/>
          <w:rtl/>
        </w:rPr>
        <w:t>2.3  الحقول المُحلَّلة</w:t>
      </w:r>
      <w:bookmarkStart w:id="7" w:name="_Toc000000007"/>
      <w:bookmarkEnd w:id="7"/>
    </w:p>
    <w:p>
      <w:pPr>
        <w:bidi w:val="1"/>
        <w:spacing w:after="120"/>
        <w:jc w:val="both"/>
      </w:pPr>
      <w:r>
        <w:rPr>
          <w:rFonts w:ascii="Dubai" w:hAnsi="Dubai" w:eastAsia="Dubai" w:cs="Dubai"/>
          <w:b w:val="0"/>
          <w:i w:val="0"/>
          <w:color w:val="000000"/>
          <w:sz w:val="24"/>
          <w:szCs w:val="24"/>
          <w:u w:val="none"/>
          <w:rtl/>
        </w:rPr>
        <w:t>الحقول المنظمة المستخدمة في التحليل: رقم الطلب، الخدمة الرئيسية، نوع المكالمة الأصلي، حالة الطلب، قناة التواصل، والإدارة المختصة. الحقول غير المنظمة — محور هذا التحليل: تفاصيل الطلب ورد المعالجة. هذان الحقلان يكشفان الطبيعة الحقيقية لكل حالة بعيداً عن التصنيف الشكلي في النظام.</w:t>
      </w:r>
    </w:p>
    <w:p>
      <w:pPr>
        <w:bidi w:val="1"/>
        <w:pStyle w:val="Heading1"/>
        <w:jc w:val="left"/>
      </w:pPr>
      <w:r>
        <w:rPr>
          <w:rFonts w:ascii="Dubai" w:hAnsi="Dubai" w:eastAsia="Dubai" w:cs="Dubai"/>
          <w:b/>
          <w:color w:val="B68A35"/>
          <w:sz w:val="32"/>
          <w:szCs w:val="32"/>
          <w:rtl/>
        </w:rPr>
        <w:t>ثالثاً: التحليل الأول — خريطة تصنيف الطلبات</w:t>
      </w:r>
      <w:bookmarkStart w:id="8" w:name="_Toc000000008"/>
      <w:bookmarkEnd w:id="8"/>
    </w:p>
    <w:p>
      <w:pPr>
        <w:bidi w:val="1"/>
        <w:pStyle w:val="Heading2"/>
        <w:jc w:val="left"/>
      </w:pPr>
      <w:r>
        <w:rPr>
          <w:rFonts w:ascii="Dubai" w:hAnsi="Dubai" w:eastAsia="Dubai" w:cs="Dubai"/>
          <w:b/>
          <w:color w:val="B68A35"/>
          <w:sz w:val="26"/>
          <w:szCs w:val="26"/>
          <w:rtl/>
        </w:rPr>
        <w:t>3.1  التوزيع الفعلي لأنواع التواصل</w:t>
      </w:r>
      <w:bookmarkStart w:id="9" w:name="_Toc000000009"/>
      <w:bookmarkEnd w:id="9"/>
    </w:p>
    <w:p>
      <w:pPr>
        <w:bidi w:val="1"/>
        <w:spacing w:after="120"/>
        <w:jc w:val="both"/>
      </w:pPr>
      <w:r>
        <w:rPr>
          <w:rFonts w:ascii="Dubai" w:hAnsi="Dubai" w:eastAsia="Dubai" w:cs="Dubai"/>
          <w:b w:val="0"/>
          <w:i w:val="0"/>
          <w:color w:val="000000"/>
          <w:sz w:val="24"/>
          <w:szCs w:val="24"/>
          <w:u w:val="none"/>
          <w:rtl/>
        </w:rPr>
        <w:t>تحليل 1081 حالة في يناير - ديسمبر 2025 أظهر أن إعادة تصنيف محتوى الطلبات بدقة تكشف صورة مختلفة جذرياً عن عبء العمل الظاهر في نظام إدارة علاقات المتعاملين. يوضح تفكيك طبيعة كل تواصل أن جزءاً كبيراً من العبء الفعلي يتركز في معالجة بلاغات تصنّف عملياً كشكاوى وطلبات وليست استفسارات عامة. التحوّل الجوهري: تَصدُّر فئة «شكوى» بعدد 705 حالات بنسبة 65.2% مقابل هيمنة سابقة لفئة «استفسار» بعدد 1067 حالة قبل التصحيح.</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قابلية التحويل الرقمي</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تغيُّر التصنيف</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النسبة</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العدد</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نوع التواصل</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مسار رقمي مختص — بوابة شكاوى / تتبع بلاغ في التطبيق</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+705 (كانت صفراً في الملف الأصلي)</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65.2%</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705</w:t>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w:t>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يتطلب موظفاً بصلاحية النظام</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+213 عن الأصلي</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20.3%</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219</w:t>
            </w:r>
          </w:p>
        </w:tc>
        <w:tc>
          <w:tcPr>
            <w:tcW w:type="dxa" w:w="1872"/>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تحويل كامل — روبوت محادثة / أسئلة شائعة / IVR / الموقع الإلكتروني</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−920 عن الأصلي</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13.6%</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147</w:t>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w:t>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توثيق تلقائي — لا يتطلب إجراءً</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 (كانت صفراً في الملف الأصلي)</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0.9%</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شكر وثناء</w:t>
            </w:r>
          </w:p>
        </w:tc>
      </w:tr>
    </w:tbl>
    <w:p/>
    <w:p>
      <w:pPr>
        <w:jc w:val="center"/>
      </w:pPr>
      <w:r>
        <w:drawing>
          <wp:inline distT="0" distB="0" distL="0" distR="0">
            <wp:extent cx="5040000" cy="3240000"/>
            <wp:effectExtent l="0" t="0" r="0" b="0"/>
            <wp:docPr id="102" name="Chart 1" descr="Chart 1"/>
            <wp:cNvGraphicFramePr>
              <a:graphicFrameLocks noChangeAspect="1"/>
            </wp:cNvGraphicFramePr>
            <a:graphic>
              <a:graphicData uri="http://schemas.openxmlformats.org/drawingml/2006/chart">
                <c:chart r:id="rId12"/>
              </a:graphicData>
            </a:graphic>
          </wp:inline>
        </w:drawing>
      </w:r>
    </w:p>
    <w:p/>
    <w:p>
      <w:pPr>
        <w:jc w:val="center"/>
      </w:pPr>
      <w:r>
        <w:drawing>
          <wp:inline distT="0" distB="0" distL="0" distR="0">
            <wp:extent cx="5040000" cy="3240000"/>
            <wp:effectExtent l="0" t="0" r="0" b="0"/>
            <wp:docPr id="103" name="Chart 2" descr="Chart 2"/>
            <wp:cNvGraphicFramePr>
              <a:graphicFrameLocks noChangeAspect="1"/>
            </wp:cNvGraphicFramePr>
            <a:graphic>
              <a:graphicData uri="http://schemas.openxmlformats.org/drawingml/2006/chart">
                <c:chart r:id="rId13"/>
              </a:graphicData>
            </a:graphic>
          </wp:inline>
        </w:drawing>
      </w:r>
    </w:p>
    <w:p/>
    <w:p>
      <w:pPr>
        <w:jc w:val="center"/>
      </w:pPr>
      <w:r>
        <w:drawing>
          <wp:inline distT="0" distB="0" distL="0" distR="0">
            <wp:extent cx="5040000" cy="3240000"/>
            <wp:effectExtent l="0" t="0" r="0" b="0"/>
            <wp:docPr id="104" name="Chart 3" descr="Chart 3"/>
            <wp:cNvGraphicFramePr>
              <a:graphicFrameLocks noChangeAspect="1"/>
            </wp:cNvGraphicFramePr>
            <a:graphic>
              <a:graphicData uri="http://schemas.openxmlformats.org/drawingml/2006/chart">
                <c:chart r:id="rId14"/>
              </a:graphicData>
            </a:graphic>
          </wp:inline>
        </w:drawing>
      </w:r>
    </w:p>
    <w:p/>
    <w:p>
      <w:pPr>
        <w:jc w:val="center"/>
      </w:pPr>
      <w:r>
        <w:drawing>
          <wp:inline distT="0" distB="0" distL="0" distR="0">
            <wp:extent cx="5040000" cy="3240000"/>
            <wp:effectExtent l="0" t="0" r="0" b="0"/>
            <wp:docPr id="105" name="Chart 4" descr="Chart 4"/>
            <wp:cNvGraphicFramePr>
              <a:graphicFrameLocks noChangeAspect="1"/>
            </wp:cNvGraphicFramePr>
            <a:graphic>
              <a:graphicData uri="http://schemas.openxmlformats.org/drawingml/2006/chart">
                <c:chart r:id="rId15"/>
              </a:graphicData>
            </a:graphic>
          </wp:inline>
        </w:drawing>
      </w:r>
    </w:p>
    <w:p/>
    <w:p>
      <w:pPr>
        <w:bidi w:val="1"/>
        <w:pStyle w:val="Heading2"/>
        <w:jc w:val="left"/>
      </w:pPr>
      <w:r>
        <w:rPr>
          <w:rFonts w:ascii="Dubai" w:hAnsi="Dubai" w:eastAsia="Dubai" w:cs="Dubai"/>
          <w:b/>
          <w:color w:val="B68A35"/>
          <w:sz w:val="26"/>
          <w:szCs w:val="26"/>
          <w:rtl/>
        </w:rPr>
        <w:t>3.2  دقة التصنيف — 86.0% من الحالات تم إعادة تصنيفها</w:t>
      </w:r>
      <w:bookmarkStart w:id="10" w:name="_Toc000000010"/>
      <w:bookmarkEnd w:id="10"/>
    </w:p>
    <w:p>
      <w:pPr>
        <w:bidi w:val="1"/>
        <w:spacing w:after="120"/>
        <w:jc w:val="both"/>
      </w:pPr>
      <w:r>
        <w:rPr>
          <w:rFonts w:ascii="Dubai" w:hAnsi="Dubai" w:eastAsia="Dubai" w:cs="Dubai"/>
          <w:b w:val="0"/>
          <w:i w:val="0"/>
          <w:color w:val="000000"/>
          <w:sz w:val="24"/>
          <w:szCs w:val="24"/>
          <w:u w:val="none"/>
          <w:rtl/>
        </w:rPr>
        <w:t>الاكتشاف الحرج: تبيّن أن 1067 من أصل 1081 حالة كانت مسجّلة في نظام إدارة علاقات المتعاملين تحت فئة «استفسار» بغضّ النظر عن محتوى الطلب الفعلي. بعد المراجعة التفصيلية، أُعيد تصنيف 930 حالة، أي بنسبة 86.0%، إلى فئات «شكوى» و«طلب» و«استفسار» وفقاً لطبيعة عبء العمل الحقيقي. هذا لا يشير إلى خطأ بشري في الإدخال، بل يعكس أن حقل التصنيف في النظام يرتبط بقناة الاستقبال أو نية المتعامل المعلنة أكثر من ارتباطه بطبيعة المعالجة المطلوبة. القائمة الكاملة لـ 930 حالة مع الأدلة متاحة في الملحق الرقمي (ملف Excel المرفق).</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الدليل من تفاصيل الطلب</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التصنيف الصحيح</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مسجَّلة كـ</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رقم الطلب</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"Regarding traffic fines recent visit to Fujairah, i request you to please check again about the traffic fines which i have received today.. while driving to Fujairah i have make sure the road speed limit and drive safe to avoid fines.. i request you to check again ticket no 6250046432 and 6250046430 i request you to please remove the fines if it is incorrect"</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شكوى — اعتراض على مخالفة مرورية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217099</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"يرجى الاستعلام عن المركبات العسكرية التي يتم ادراجها على الرمز المروري الخاص بي للعلم بانني لم استلم اي مركبة عسكرية بالأرقام المسجلة على الرمز المروري الخاص بي لتفادي المخالفات والإجراءات القانونية يرجى التأكد والمتابعة  من الأشخاص المستلمين للمركبات العسكرية وافيدكم بأرقام المركبات 18499 شرطة + 19790 شرطة وصورة من المسج"</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شكوى — شكوى عن عدم استلام الخدمة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225488</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"سعادة/ وزارة الداخلية المحترمين،</w:t>
              <w:br/>
              <w:t>تحية طيبة وبعد،</w:t>
              <w:br/>
              <w:t>أتقدم لسيادتكم باعتراض على المخالفات التي تم تسجيلها علي حيث أني لم أكن متعمدا لارتكابها  نظرا  لأني كنت مستعجلا بسبب أن أبني يدرس في جامعة الفجيرة وأنا إمام مسجد ويجب أن أكون متواجدا في مسجدي وقت الصلاة وحصل مني بعض الأيام أن أسرعت حتى ألحق في توصيل أبني للجامعة للاختبارات وحتى أصل مبكرا للمسجد  في دبي   . أرجو منكم التكرم بمراجعة المخالفات وتخفيضها لأن المبلغ كبير جدا  بالنسبة لراتبي الشهري ،  مع خالص الشكر والتقدير."</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شكوى — اعتراض على مخالفة مرورية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225621</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"تم تقديم شكوه  لعدم رد علي  بموافقة او عدم موافقة  نوع الشكوى طلب تصريح سلاح  من سنة 2024/8/29  لحد اليوم تاريخ 2025/8/20  تقريبا ما يستوي سنه ولا تم توضيح الموضوع"</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طلب — طلب تصريح سلاح أو ترخيص</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249478</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"لدي اعتراض على مخالفة تخالفت فيه علما أنني كنت لا اعلم ان المكان ممنوع دخول اليه خالفني احد رجال شرطة على دخول بسيارتي إلى سيفة البحر بدخول مكان ممنوع علمن بانه لا يوجد اي لافته مكتوب فيها ممنوع دخول وقد خالفني قلت له كنت لا اعرف وهو خالفني  علمن هناك الكثير من ناس يدخلون وأنا كنت لا اعلم انهو ممنوع للأساس  يمكنكم تأكد من الموقع"</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شكوى — اعتراض على مخالفة مرورية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249647</w:t>
            </w:r>
          </w:p>
        </w:tc>
      </w:tr>
    </w:tbl>
    <w:p/>
    <w:p>
      <w:pPr>
        <w:bidi w:val="1"/>
        <w:pStyle w:val="Heading2"/>
        <w:jc w:val="left"/>
      </w:pPr>
      <w:r>
        <w:rPr>
          <w:rFonts w:ascii="Dubai" w:hAnsi="Dubai" w:eastAsia="Dubai" w:cs="Dubai"/>
          <w:b/>
          <w:color w:val="B68A35"/>
          <w:sz w:val="26"/>
          <w:szCs w:val="26"/>
          <w:rtl/>
        </w:rPr>
        <w:t>3.3  تفصيل الشكاوى (705 حالة — 65.2%)</w:t>
      </w:r>
      <w:bookmarkStart w:id="11" w:name="_Toc000000011"/>
      <w:bookmarkEnd w:id="11"/>
    </w:p>
    <w:p>
      <w:pPr>
        <w:bidi w:val="1"/>
        <w:spacing w:after="120"/>
        <w:jc w:val="both"/>
      </w:pPr>
      <w:r>
        <w:rPr>
          <w:rFonts w:ascii="Dubai" w:hAnsi="Dubai" w:eastAsia="Dubai" w:cs="Dubai"/>
          <w:b w:val="0"/>
          <w:i w:val="0"/>
          <w:color w:val="000000"/>
          <w:sz w:val="24"/>
          <w:szCs w:val="24"/>
          <w:u w:val="none"/>
          <w:rtl/>
        </w:rPr>
        <w:t>تُظهر إعادة التصنيف أن الشكاوى كانت الفئة المهيمنة المخفية ضمن ملف الاستفسارات، مع تركّز واضح في منظومة المخالفات المرورية والترخيص والخدمات المرتبطة بها. يتضح نمط متكرر لمتعاملين يتواصلون بعد تلقي مخالفة أو تعطل خدمة أساسية أو تأخر معاملة، كما يلي:</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الوصف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النسبة من الشكاوى</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العدد</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الفئة الفرعية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يتلقون مخالفات سرعة أو حجز أو عبور إشارة ويخاطبون الشرطة لتوضيح ملابسات الواقعة وطلب مراجعة التسجيل أو تعديل الغرامة لاعتقادهم بعدم استحقاقها أو وجود ظرف قهري.</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26.8%</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189</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اعتراض على مخالفة مرورية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يكتشفون مخالفات مسجلة على رموزهم أو مركباتهم رغم عدم وجودهم في الموقع أو عدم قيادتهم للمركبة، ويطلبون التحقق من صحة الرصد أو تطابق أرقام اللوحات والبيانات.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22.0%</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155</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 عن مخالفة مشكوك فيها</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تقدموا بطلب رخصة أو مركبة أو خدمة معينة ودفعوا الرسوم أو استكملوا الإجراءات، ثم لم يستلموا الخدمة أو المستند أو المركبة فعلياً رغم ظهورها منجزة في النظام.</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16.5%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116</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 عن عدم استلام الخدمة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يتواصلون للإبلاغ عن حوادث سير، أو سلوكيات مرورية خطرة، أو مركبات مشبوهة، أو مضايقات أمنية في الأحياء أو الطرق، ويطلبون تدخل الدوريات أو فتح بلاغ رسمي.</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14.2%</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100</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تقديم بلاغ أمني أو مروري</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يواجهون أعطالاً في التطبيق أو البوابة أو أجهزة الدفع تؤدي إلى تكرار الخصم أو تعذر إتمام المعاملة، ويطلبون تصحيح البيانات أو إرجاع الرسوم أو إصلاح الخلل.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8.1%</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57</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 على خطأ تقني أو في النظام</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لديهم طلبات رخص أو مخالفات أو بلاغات مفتوحة منذ فترة طويلة دون تحديث، ويتواصلون أكثر من مرة للاستفسار عن أسباب التأخير والمطالبة بتسريع إنجاز معاملاتهم.</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6.0%</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42</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 على تأخر المعالجة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يعبّرون عن استياء عام من مستوى الخدمة أو سلوك بعض الموظفين أو ازدحام مراكز الخدمة أو صعوبة الوصول للمعلومات، دون ربط الشكوى بمعاملة محددة أو رقم طلب واضح.</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5.2%</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37</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شكوى عامة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قدّموا طلبات أو استفسارات سابقة عبر القنوات المختلفة ولم يتلقوا أي رد أو تحديث، فيقومون بالتواصل مجدداً للاحتجاج على غياب المتابعة والمطالبة بجهة مسؤولة للرد.</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1.3%</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شكوى على عدم الرد</w:t>
            </w:r>
          </w:p>
        </w:tc>
      </w:tr>
    </w:tbl>
    <w:p/>
    <w:p>
      <w:pPr>
        <w:bidi w:val="1"/>
        <w:pStyle w:val="Heading2"/>
        <w:jc w:val="left"/>
      </w:pPr>
      <w:r>
        <w:rPr>
          <w:rFonts w:ascii="Dubai" w:hAnsi="Dubai" w:eastAsia="Dubai" w:cs="Dubai"/>
          <w:b/>
          <w:color w:val="B68A35"/>
          <w:sz w:val="26"/>
          <w:szCs w:val="26"/>
          <w:rtl/>
        </w:rPr>
        <w:t>3.4  تفصيل الطلبات والاستفسارات</w:t>
      </w:r>
      <w:bookmarkStart w:id="12" w:name="_Toc000000012"/>
      <w:bookmarkEnd w:id="12"/>
    </w:p>
    <w:p>
      <w:pPr>
        <w:bidi w:val="1"/>
        <w:spacing w:after="120"/>
        <w:jc w:val="both"/>
      </w:pPr>
      <w:r>
        <w:rPr>
          <w:rFonts w:ascii="Dubai" w:hAnsi="Dubai" w:eastAsia="Dubai" w:cs="Dubai"/>
          <w:b w:val="0"/>
          <w:i w:val="0"/>
          <w:color w:val="000000"/>
          <w:sz w:val="24"/>
          <w:szCs w:val="24"/>
          <w:u w:val="none"/>
          <w:rtl/>
        </w:rPr>
        <w:t>أبرز الطلبات المقدَّمة (219 حالة — 20.3%):</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الوصف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النسبة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العدد</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الفئة الفرعية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يكتشفون خطأ في بياناتهم المرورية أو بيانات المركبة أو أرقام الاتصال في النظام، ويتقدمون بطلب رسمي لتعديل الاسم أو العنوان أو الربط بالرمز المروري الصحيح.</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42.5%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تعديل أو تحديث بيانات</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يطلبون فتح ملف مروري أو جنائي جديد بخصوص حادث، أو نزاع على مركبة، أو فقدان ملكية، أو واقعة تتطلب رقم بلاغ رسمي لمتابعتها لدى الجهات المعنية.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14.6%</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32</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فتح ملف أو بلاغ</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انتهت صلاحية رخصة قيادتهم أو ملكية مركباتهم، ويتواصلون لطلب تجديدها إلكترونياً أو الاستفسار عن استكمال خطوات التجديد ودفع الرسوم واستلام الوثائق الجديدة.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تجديد رخصة أو ملكية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لديهم طلبات سابقة مثل تجديد أو تصريح أو اعتراض، ويستخدمون الرقم المرجعي للتأكد من حالة الطلب ومرحلة المعالجة المتبقية وتوقع موعد الإنجاز أو سبب التأخير.</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8.7%</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19</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متابعة طلب مقدم</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يطلبون خدمة محددة مثل حجز موعد في مركز الخدمة، أو تفعيل خدمة إضافية، أو الحصول على دعم ميداني، دون أن يرتبط الطلب بمعاملة إلكترونية قائمة مسبقاً.</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16</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خدمة عام</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لديهم مخالفات مرورية قائمة ويواجهون صعوبات في السداد الإلكتروني أو يرغبون في تقسيط الغرامات أو استخدام قنوات دفع محددة، ويطلبون تسهيل أو تفعيل خيار السداد.</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7.3%</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16</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سداد مخالفة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يرغبون في الحصول على تصريح حمل أو اقتناء سلاح أو تجديد ترخيص قائم، ويتواصلون لمعرفة حالة الطلب أو استكمال المتطلبات أو سبب تأخر الموافقة النهائية.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5.0%</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تصريح سلاح أو ترخيص</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أنجزوا معاملات رخص أو ملكيات أو مستندات، ثم يطلبون توصيل الوثائق إلى عناوينهم أو الاستفسار عن مكان استلامها بعد تعثر تسليم شركات التوصيل أو تغيير العنوان.</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1.8%</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توصيل أو استلام</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يحتاجون إلى شهادة براءة ذمة أو تقرير حادث أو إفادة حركة مركبة لأغراض قضائية أو تأمينية، ويتقدمون بطلب رسمي لإصدار الوثيقة وتسليمها لهم إلكترونياً أو ورقياً.</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1.4%</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طلب إصدار شهادة أو وثيقة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 واحد قدم اعتراضاً على مخالفة مرورية من خلال نموذج طلب خدمة بدلاً من مسار الشكاوى، وطلب إعادة النظر في المخالفة ضمن إجراءات الطلب وليس الشكوى.</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0.5%</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اعتراض على مخالفة مرورية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 واحد يطلب تصريحاً خاصاً مثل مرور مركبة في منطقة مقيّدة أو تنظيم فعالية أو إغلاق طريق مؤقتاً، ويتواصل لتوضيح الشروط والحصول على اعتماد الجهة المختصة.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0.5%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طلب تصريح خاص</w:t>
            </w:r>
          </w:p>
        </w:tc>
      </w:tr>
    </w:tbl>
    <w:p/>
    <w:p>
      <w:pPr>
        <w:bidi w:val="1"/>
        <w:pStyle w:val="Heading2"/>
        <w:jc w:val="left"/>
      </w:pPr>
      <w:r>
        <w:rPr>
          <w:rFonts w:ascii="Dubai" w:hAnsi="Dubai" w:eastAsia="Dubai" w:cs="Dubai"/>
          <w:b/>
          <w:color w:val="B68A35"/>
          <w:sz w:val="26"/>
          <w:szCs w:val="26"/>
          <w:rtl/>
        </w:rPr>
        <w:t>3.5  أبرز الاستفسارات المتكررة (147 حالة — 13.6%) — وهي الفئة الأكثر قابليةً للتحويل إلى خدمة ذاتية رقمية كاملة</w:t>
      </w:r>
      <w:bookmarkStart w:id="13" w:name="_Toc000000013"/>
      <w:bookmarkEnd w:id="13"/>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الوصف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النسبة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العدد</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الفئة الفرعية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يسألون عن شروط إصدار أو تجديد الرخص، أو نقل ملكية المركبات، أو المخالفات المسجلة على رمزهم المروري، أو تفاصيل التأمين والرسوم المرتبطة بالمركبة.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47.6%</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70</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 عن الرخص والمركبات</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يطرحون أسئلة عامة حول أوقات عمل مراكز الشرطة، أو مواقع تقديم الخدمات، أو أرقام التواصل، أو نطاق صلاحيات شرطة الفجيرة مقارنة بجهات اتحادية أخرى.</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26.5%</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39</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 عام</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يواجهون صعوبة في استخدام التطبيق أو تسجيل الدخول أو تحميل المستندات، ويسألون عن طريقة حل المشكلة التقنية أو المتصفحات المدعومة أو تحديث البيانات الرقمية.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8.8%</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 تقني</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لديهم بلاغات سابقة عن حوادث أو قضايا أمنية ويسألون عن رقم البلاغ، أو جهة المتابعة، أو الإجراءات المتخذة، أو ما إذا كان يلزم حضورهم شخصياً لإكمال الإفادة.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8.2%</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12</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 عن البلاغات الأمنية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متعاملون يستفسرون مسبقاً عن المستندات المطلوبة والرسوم والخطوات الزمنية لخدمات مثل فتح بلاغ أو تجديد رخصة أو نقل ملكية، لتفادي تكرار الزيارات أو النواقص.</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8.2%</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12</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استفسار عن الإجراءات والمتطلبات</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متعامل واحد يسأل عن ضوابط حيازة السلاح، أو مدة صلاحية الترخيص، أو شروط نقل الملكية لشخص آخر، قبل أن يتقدم بطلب رسمي لدى الجهة المختصة بالتصاريح.</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0.7%</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استفسار عن الأسلحة والتراخيص</w:t>
            </w:r>
          </w:p>
        </w:tc>
      </w:tr>
    </w:tbl>
    <w:p/>
    <w:p>
      <w:pPr>
        <w:bidi w:val="1"/>
        <w:pStyle w:val="Heading1"/>
        <w:jc w:val="left"/>
      </w:pPr>
      <w:r>
        <w:rPr>
          <w:rFonts w:ascii="Dubai" w:hAnsi="Dubai" w:eastAsia="Dubai" w:cs="Dubai"/>
          <w:b/>
          <w:color w:val="B68A35"/>
          <w:sz w:val="32"/>
          <w:szCs w:val="32"/>
          <w:rtl/>
        </w:rPr>
        <w:t>رابعاً: التحليل الثاني — التحديات في رحلة المتعامل</w:t>
      </w:r>
      <w:bookmarkStart w:id="14" w:name="_Toc000000014"/>
      <w:bookmarkEnd w:id="14"/>
    </w:p>
    <w:p>
      <w:pPr>
        <w:bidi w:val="1"/>
        <w:spacing w:after="120"/>
        <w:jc w:val="both"/>
      </w:pPr>
      <w:r>
        <w:rPr>
          <w:rFonts w:ascii="Dubai" w:hAnsi="Dubai" w:eastAsia="Dubai" w:cs="Dubai"/>
          <w:b w:val="0"/>
          <w:i w:val="0"/>
          <w:color w:val="000000"/>
          <w:sz w:val="24"/>
          <w:szCs w:val="24"/>
          <w:u w:val="none"/>
          <w:rtl/>
        </w:rPr>
        <w:t>يكشف التحليل المعمّق للبيانات النصية غير المهيكلة عن 5 نقاط احتكاك رئيسية في رحلة المتعامل، كل منها ينتج عن سبب جذري محدد قابل للمعالجة: وتظهر النتائج أن النقطة الأكثر حدة هي صورة المركبة في إشعار المخالفة تُظهر مركبة مختلفة أو المتعامل لم يكن في الفجيرة التي تؤثر على 155 حالة (14.3% من الإجمالي). كما برزت نقطة تأخر أو تعذر استلام الرخص والملكيات المطبوعة كفرصة تحسين سريعة الأثر عبر تطبيق إشعار استباقي عبر الرسائل النصية القصيرة أو البريد الإلكتروني:</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الإجراء التحسيني</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السبب الجذري</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الحالات</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نقطة الاحتكاك</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تطوير نظام مطابقة لوحات الرادار ومعالجة الخلل التقني، مع تخصيص فقرة إرشادية في خدمة الاعتراض تشرح الشروط والوثائق والخطوات للمتعامل.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خلل تقني في المنصة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155</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صورة المركبة في إشعار المخالفة تُظهر مركبة مختلفة أو المتعامل لم يكن في الفجيرة</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إنشاء قسم موحد بعنوان تسليم وتتبع الرخص والملكيات يوضح آلية ومدة التوصيل وطرق التتبع والتصعيد، مع تفعيل رسائل استباقية تتضمن رابط التتبع.</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معلومات مفقودة من الدليل</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116</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تأخر استلام الرخصة أو الملكية المطبوعة وعدم وضوح حالة التوصيل</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إضافة فقرة توضيحية في خدمات تغيير بيانات الملكية والرخصة تبين متى يتم التحديث الآلي ومتى يلزم الطلب اليدوي مع تنبيه استباقي عند تغيّر بيانات الهوية.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تعقيد إجراءات السياسة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93</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عدم تحديث بيانات الهوية أو الإقامة أو الصورة آلياً مما يجبر المتعامل على طلب التحديث يدوياً</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توضيح إجراءات حالات فشل الدفع أو الخصم دون خدمة وربطها بخدمة استرجاع قيمة المخالفات، مع رسائل تلقائية تشرح الخطوات والمدة المتوقعة للحل.</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خلل تقني في المنصة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57</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تعطل إجراء المعاملة أو خصم المبلغ مرتين بسبب خطأ تقني في النظام</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إضافة مجموعة خدمات بعنوان تراخيص الأسلحة توضح الشروط والمدة وآلية المتابعة، مع رسائل استباقية في المراحل الرئيسة لطلب الترخيص وتقليل عدم اليقين.</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معلومات موجودة لكنها صعبة الوصول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42</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تأخر معالجة طلبات ترخيص السلاح أو تسليم الرخصة دون وضوح المدة أو الحالة للمتعامل</w:t>
            </w:r>
          </w:p>
        </w:tc>
      </w:tr>
    </w:tbl>
    <w:p/>
    <w:p>
      <w:pPr>
        <w:bidi w:val="1"/>
        <w:pStyle w:val="Heading1"/>
        <w:jc w:val="left"/>
      </w:pPr>
      <w:r>
        <w:rPr>
          <w:rFonts w:ascii="Dubai" w:hAnsi="Dubai" w:eastAsia="Dubai" w:cs="Dubai"/>
          <w:b/>
          <w:color w:val="B68A35"/>
          <w:sz w:val="32"/>
          <w:szCs w:val="32"/>
          <w:rtl/>
        </w:rPr>
        <w:t>خامساً: التحليل الثالث — تحليل الفجوات الرقمية</w:t>
      </w:r>
      <w:bookmarkStart w:id="15" w:name="_Toc000000015"/>
      <w:bookmarkEnd w:id="15"/>
    </w:p>
    <w:p>
      <w:pPr>
        <w:bidi w:val="1"/>
        <w:spacing w:after="120"/>
        <w:jc w:val="both"/>
      </w:pPr>
      <w:r>
        <w:rPr>
          <w:rFonts w:ascii="Dubai" w:hAnsi="Dubai" w:eastAsia="Dubai" w:cs="Dubai"/>
          <w:b w:val="0"/>
          <w:i w:val="0"/>
          <w:color w:val="000000"/>
          <w:sz w:val="24"/>
          <w:szCs w:val="24"/>
          <w:u w:val="none"/>
          <w:rtl/>
        </w:rPr>
        <w:t>لماذا تستمر المشكلات رغم توفر التطبيق والموقع الإلكتروني؟ تُظهر بيانات الفترة يناير - ديسمبر 2025 أن 96.4% من إجمالي 1081 حالة وردت عبر القنوات الرقمية، ومع ذلك يستمر ظهور فجوات وظيفية داخل هذه القنوات نفسها، حيث لا يعود الخلل إلى غياب القناة الرقمية بل إلى غياب المسارات والإجراءات الصحيحة داخلها. ويتضح من تحليل الفجوات وجود أربع فجوات حرجة وفجوة واحدة عالية، تتصدرها موضوعات مثل «مخالفات مرورية على غير المركبة أو مع غياب المتعامل عن الفجيرة» بعدد 155 حالة، بالإضافة إلى 406 حالة تراكمية عبر مختلف أنواع الأسباب الجذرية في الجدول (خطأ تقني + ضعف الإشعار الاستباقي + تعقيد السياسات + غيرها)، كما يمكن تحويل 308 حالة (28.5%) إلى تواصل ذاتي الحل عبر إشعار SMS/بريد إلكتروني استباقي دون أي تغيير في البنية التحتية الحالية.</w:t>
      </w:r>
    </w:p>
    <w:p>
      <w:pPr>
        <w:bidi w:val="1"/>
        <w:pStyle w:val="Heading2"/>
        <w:jc w:val="left"/>
      </w:pPr>
      <w:r>
        <w:rPr>
          <w:rFonts w:ascii="Dubai" w:hAnsi="Dubai" w:eastAsia="Dubai" w:cs="Dubai"/>
          <w:b/>
          <w:color w:val="B68A35"/>
          <w:sz w:val="26"/>
          <w:szCs w:val="26"/>
          <w:rtl/>
        </w:rPr>
        <w:t>5.1  جدول الفجوات المُدمج</w:t>
      </w:r>
      <w:bookmarkStart w:id="16" w:name="_Toc000000016"/>
      <w:bookmarkEnd w:id="16"/>
    </w:p>
    <w:tbl>
      <w:tblPr>
        <w:tblStyle w:val="TableGrid"/>
        <w:tblW w:type="auto" w:w="0"/>
        <w:tblLook w:firstColumn="1" w:firstRow="1" w:lastColumn="0" w:lastRow="0" w:noHBand="0" w:noVBand="1" w:val="04A0"/>
        <w:tblLayout w:type="fixed"/>
      </w:tblPr>
      <w:tblGrid>
        <w:gridCol w:w="1560"/>
        <w:gridCol w:w="1560"/>
        <w:gridCol w:w="1560"/>
        <w:gridCol w:w="1560"/>
        <w:gridCol w:w="1560"/>
        <w:gridCol w:w="1560"/>
      </w:tblGrid>
      <w:tr>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التوصية</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نوع الفجوة</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وضع التطبيق / الموقع الحالي</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الشدّة</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الحالات</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الموضوع</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استحداث فقرة تفصيلية ضمن خدمة الاعتراض توضح خطوات الاعتراض عند اختلاف المركبة أو غياب المتعامل، مع الشروط والوثائق والمدة المتوقعة.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إجراء غير واضح</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يتوفر في الدليل شرح جزئي لخدمة الاعتراض على الضبط المروري وتحويل المخالفات إلى نيابة المرور، لكنه لا يشرح حالات اختلاف صورة المركبة أو غياب المتعامل عن الإمارة.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155</w:t>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مخالفات مرورية على غير المركبة أو مع غياب المتعامل عن الفجيرة</w:t>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تفعيل إشعار SMS/بريد تلقائي مع رابط تتبع، وإنشاء قسم موحد يشرح آلية التوصيل، التتبع، تصحيح العنوان، وخطوات التصعيد بعد التأخر.</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محتوى مفقود</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تتضمن الخدمات نصا عاما عن استلام أو توصيل الملكيات عبر شركة التوصيل دون شرح لآلية التتبع أو ما الإجراء عند تأخر أو فشل التسليم.</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116</w:t>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تأخر أو تعذر استلام الرخص والملكيات المطبوعة</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تفعيل إشعار SMS/بريد تلقائي عند فشل أو خلل الدفع، مع توحيد شرح الإجراءات والربط بخدمة الاسترجاع وإضافة مخطط قرار مبسط للمتعامل.</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إجراء غير واضح</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يوضح الدليل خدمة دفع المخالفات واستلام المبالغ دون توضيح إجراءات فشل الدفع أو الخصم المزدوج، بينما ترد خدمة استرجاع قيمة المخالفات منفصلة وبتعريف محدود.</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57</w:t>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مشاكل دفع إلكتروني أو صدور خدمة غير مكتملة بسبب عطل</w:t>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تفعيل إشعار SMS/بريد تلقائي لمراحل الطلب، وإنشاء مجموعة خدمات تراخيص أسلحة توضح الشروط، المستندات، مدد الإنجاز وآلية متابعة الحالة رقميا.</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محتوى مفقود</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لا توجد في المقاطع الحالية أي خدمة أو أسئلة شائعة مخصصة لتراخيص الأسلحة توضح شروط الخدمة، مدة الإنجاز، أو طريقة متابعة حالة الطلب رقميا.</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حرجة</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42</w:t>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تأخر البت في تراخيص الأسلحة والرخص رغم مرور فترات طويلة</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تفعيل إشعار SMS/بريد تلقائي يدعو لمراجعة البيانات عند رصد تغيير بالهوية، مع توضيح سيناريوهات التحديث الآلي واليدوي والمدة المتوقعة لتزامن الأنظمة.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عدم أتمتة / نقص في التوضيح</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تشرح الخدمات تعديل بيانات الملكية والرخصة وفقا للوثائق الرسمية، لكنها لا توضح آلية تزامن بيانات الهوية والإقامة زمنيا مع أنظمة MOI أو الحاجة لتحديث يدوي.</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عالية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93</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عدم تزامن بيانات الهوية والرخصة بين الأنظمة</w:t>
            </w:r>
          </w:p>
        </w:tc>
      </w:tr>
    </w:tbl>
    <w:p/>
    <w:p>
      <w:pPr>
        <w:bidi w:val="1"/>
        <w:pStyle w:val="Heading2"/>
        <w:jc w:val="left"/>
      </w:pPr>
      <w:r>
        <w:rPr>
          <w:rFonts w:ascii="Dubai" w:hAnsi="Dubai" w:eastAsia="Dubai" w:cs="Dubai"/>
          <w:b/>
          <w:color w:val="B68A35"/>
          <w:sz w:val="26"/>
          <w:szCs w:val="26"/>
          <w:rtl/>
        </w:rPr>
        <w:t>5.2  الأسباب الجذرية لاستمرار المشكلات</w:t>
      </w:r>
      <w:bookmarkStart w:id="17" w:name="_Toc000000017"/>
      <w:bookmarkEnd w:id="17"/>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الحل</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مثال على التحدي</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السبب الجذري</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إطلاق نموذج اعتراض رقمي موحد مع رقم مرجعي، يتزامن مع نظام الضبط المروري، ويبلغ المتعامل آليا بمراحل المعالجة.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155 حالة — صورة المركبة في إشعار المخالفة تُظهر مركبة مختلفة أو المتعامل لم يكن في الفجيرة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غياب آلية إبلاغ تقني منظمة</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1</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استحداث مسار تتبع توصيل داخل التطبيق مع تكامل شركة التوصيل وإشعارات تلقائية بحالة الشحنة وخطوات التصعيد عند التعثر.</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116 حالة — تأخر استلام الرخصة أو الملكية المطبوعة وعدم وضوح حالة التوصيل</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غياب مسار رقمي مخصص</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تبسيط السياسة بتحديد مدد تزامن واضحة، وأتمتة جلب بيانات الهوية من الأنظمة الاتحادية مع تنبيه عند الحاجة لتحديث يدوي.</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93 حالة — عدم تحديث بيانات الهوية أو الإقامة أو الصورة آلياً مما يجبر المتعامل على طلب التحديث يدوياً</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تعقيد إجراءات السياسة</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3</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إضافة لوحة حالة طلب تفاعلية لتراخيص السلاح، مع رسائل توعية وإشعارات دورية بالمدة المتوقعة وقنوات المتابعة الرقمية المتاحة.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42 حالة — تأخر معالجة طلبات ترخيص السلاح أو تسليم الرخصة دون وضوح المدة أو الحالة للمتعامل</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ضعف التوعية بالقنوات الرقمية المتاحة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w:t>
            </w:r>
          </w:p>
        </w:tc>
      </w:tr>
    </w:tbl>
    <w:p/>
    <w:p>
      <w:pPr>
        <w:bidi w:val="1"/>
        <w:pStyle w:val="Heading1"/>
        <w:jc w:val="left"/>
      </w:pPr>
      <w:r>
        <w:rPr>
          <w:rFonts w:ascii="Dubai" w:hAnsi="Dubai" w:eastAsia="Dubai" w:cs="Dubai"/>
          <w:b/>
          <w:color w:val="B68A35"/>
          <w:sz w:val="32"/>
          <w:szCs w:val="32"/>
          <w:rtl/>
        </w:rPr>
        <w:t>سادساً: التحليل الرابع — خطة التحويل الرقمي</w:t>
      </w:r>
      <w:bookmarkStart w:id="18" w:name="_Toc000000018"/>
      <w:bookmarkEnd w:id="18"/>
    </w:p>
    <w:p>
      <w:pPr>
        <w:bidi w:val="1"/>
        <w:spacing w:after="120"/>
        <w:jc w:val="both"/>
      </w:pPr>
      <w:r>
        <w:rPr>
          <w:rFonts w:ascii="Dubai" w:hAnsi="Dubai" w:eastAsia="Dubai" w:cs="Dubai"/>
          <w:b w:val="0"/>
          <w:i w:val="0"/>
          <w:color w:val="000000"/>
          <w:sz w:val="24"/>
          <w:szCs w:val="24"/>
          <w:u w:val="none"/>
          <w:rtl/>
        </w:rPr>
        <w:t>هذه الأسئلة مستخرجة من الأنماط الأكثر تكراراً في البيانات النصية للفترة يناير - ديسمبر 2025، وتشكّل 7 أسئلة شائعة ذات أولوية مع مسار واضح للمعالجة الرقمية والإشعارات الاستباقية. كما يبيّن التحليل أن 30 تواصلاً (بنسبة 2.8% من إجمالي 1081 حالة) يمكن إلغاؤها بالكامل عبر نظام إشعارات بسيط دون الحاجة إلى أي تغيير هيكلي في الخدمات.</w:t>
      </w:r>
    </w:p>
    <w:p>
      <w:pPr>
        <w:bidi w:val="1"/>
        <w:pStyle w:val="Heading2"/>
        <w:jc w:val="left"/>
      </w:pPr>
      <w:r>
        <w:rPr>
          <w:rFonts w:ascii="Dubai" w:hAnsi="Dubai" w:eastAsia="Dubai" w:cs="Dubai"/>
          <w:b/>
          <w:color w:val="B68A35"/>
          <w:sz w:val="26"/>
          <w:szCs w:val="26"/>
          <w:rtl/>
        </w:rPr>
        <w:t>6.1  الأسئلة الشائعة ذات الأولوية</w:t>
      </w:r>
      <w:bookmarkStart w:id="19" w:name="_Toc000000019"/>
      <w:bookmarkEnd w:id="19"/>
    </w:p>
    <w:p>
      <w:pPr>
        <w:bidi w:val="1"/>
        <w:spacing w:after="120"/>
        <w:jc w:val="both"/>
      </w:pPr>
      <w:r>
        <w:rPr>
          <w:rFonts w:ascii="Dubai" w:hAnsi="Dubai" w:eastAsia="Dubai" w:cs="Dubai"/>
          <w:b w:val="0"/>
          <w:i w:val="0"/>
          <w:color w:val="000000"/>
          <w:sz w:val="24"/>
          <w:szCs w:val="24"/>
          <w:u w:val="none"/>
          <w:rtl/>
        </w:rPr>
        <w:t>هذه الأسئلة مستخرجة من الأنماط الأكثر تكراراً في البيانات النصية.</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التكرار</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الإجابة المقترحة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السؤال</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27</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تُعرض طلبات ترخيص وشراء السلاح على لجنة مختصة في مديرية الأسلحة والمتفجرات بوزارة الداخلية. تُقيَّم الأهلية وفق الاشتراطات القانونية والأمنية، وقد يُرفض الطلب مع بقائه ظاهراً كـ«قيد المعالجة». تحقق من استيفاء المتطلبات المعلنة، وتابع حالة الطلب عبر تطبيق MOI أو موقع الوزارة باستخدام UAE PASS، أو تواصل مع مركز الاتصال للاستفسار بدل تكرار الشكاوى أو تقديم طلب جديد.</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قدمت طلب ترخيص سلاح أو شراء/اقتناء سلاح، والطلب «قيد المعالجة» منذ فترة طويلة، كيف يتم تقييم طلبي ومتى يُحسم؟</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1</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18</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عند استخدام تطبيق MOI أو خدمة «الشرطة في هاتفك»، اختر من القائمة خدمة «البلاغات الجنائية» وليس «الشكاوى» أو ملاحظات الخدمة. أدخل بيانات الواقعة والمرفقات المطلوبة ثم أكد الطلب عبر UAE PASS. إذا فضّلت الحضور الشخصي، راجع مركز الشرطة المختص واطلب تسجيل بلاغ جنائي. إدخال الواقعة في خانة الشكاوى فقط يعني معاملتها كملاحظة خدمية دون فتح قضية جنائية.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أريد تقديم بلاغ جنائي عن واقعة احتيال أو سرقة عبر التطبيق، ما هي الطريقة الصحيحة بدلاً من إدخاله كشكاوى على الخدمات؟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2</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طلبات معرض الصيد والفروسية تخضع لنفس معايير ترخيص السلاح المعمول بها في وزارة الداخلية، وتشمل الفحص الأمني وشروط الأهلية. تقييم كل طلب يتم على حدة، وقد تُرفض بعض الطلبات أو تبقى معلّقة لعدم استيفاء شرط محدد، حتى لو تمت الموافقة على طلبات أخرى في اليوم نفسه. يُنصح بمراجعة المتطلبات المنشورة، ثم الاستفسار من مديرية الأسلحة والمتفجرات عبر قنوات MOI الرسمية أو مركز الاتصال.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قدمت طلب ترخيص أو شراء سلاح في معرض الصيد والفروسية وتم رفضه أو تأخر، بينما تمت الموافقة على طلبات أخرى بسرعة، لماذا؟</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3</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11</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هذه الوقائع تُسجل كبلاغات جنائية. ادخل تطبيق MOI واختر «البلاغات الجنائية»، ثم اختر نوع الاحتيال، وأرفق كشف الحساب، الإيصالات، ونسخ المحادثات، وثبّت الطلب عبر UAE PASS. أو راجع مركز الشرطة في الإمارة التي حدثت فيها الواقعة مع المستندات الأصلية. بعد التسجيل، تتولى الشرطة مخاطبة البنوك والجهات المعنية. تقديمها كشكاوى على الخدمات فقط لن يفتح قضية جنائية.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تعرضت لاحتيال مالي إلكتروني أو تحويلت مبلغاً بالخطأ، كيف أقدّم بلاغاً جنائياً صحيحاً عن هذه الواقعة؟</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4</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لا يمكن إلغاء الطلب ذاتياً من النظام. تواصل مع مركز الاتصال في MOI أو دعم الخدمات الذكية وقدم رقم الطلب مع طلب الإلغاء. يتم التنسيق مع مديرية الأسلحة والمتفجرات لإلغاء الطلب من النظام الخلفي. بعد تأكيد الإلغاء عبر SMS أو إشعار تطبيق MOI، يمكنك التقديم على طلب جديد، بما في ذلك الطلبات المرتبطة بمعرض الصيد والفروسية، باستخدام UAE PASS.</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لدي طلب ترخيص سلاح أو شراء/اقتناء سلاح «قيد المعالجة» وأريد حذفه لتقديم طلب جديد، كيف ألغيه؟</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5</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9</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أولاً، تحقق من حالة الطلب في تطبيق MOI أو الموقع باستخدام UAE PASS للتأكد من عدم صدور نسخة إلكترونية. قد يكون الطلب ما زال لدى التسجيل الجنائي، أو توجد سوابق أو تعميم يستلزم مراجعة النيابة أو الجهة القضائية. أحياناً توجد مشكلة في البصمة أو بيانات الهوية وتتطلب مراجعة الجهة المختصة. عند ظهور تنبيه بالمراجعة، اتبع التعليمات أو تواصل مع مركز الشرطة أو مركز الاتصال.</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قدمت طلب شهادة حسن السيرة والسلوك أو شهادة الحالة الجنائية وسددت الرسوم، ولكن لم أستلم الشهادة بعد، ما السبب؟</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6</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ادخل مجدداً إلى تطبيق MOI واختر خدمة «بلاغ جنائي» أو «البلاغات الأمنية»، ثم أعد إدخال بيانات الواقعة وإرفاق المستندات وتأكيدها عبر UAE PASS. المعاملة السابقة ستبقى كشكاوى على الخدمات فقط. يمكنك قبل إعادة التقديم الاتصال بمركز الاتصال أو أقرب مركز شرطة لتحديد جهة الاختصاص والمسار الصحيح داخل التطبيق لضمان تسجيل البلاغ كقضية جنائية رسمية.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اكتشفت أنني سجلت واقعة جنائية في خانة الشكاوى بدلاً من خانة البلاغات الجنائية في التطبيق، ماذا أفعل؟</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w:t>
            </w:r>
          </w:p>
        </w:tc>
      </w:tr>
    </w:tbl>
    <w:p/>
    <w:p>
      <w:pPr>
        <w:bidi w:val="1"/>
        <w:pStyle w:val="Heading2"/>
        <w:jc w:val="left"/>
      </w:pPr>
      <w:r>
        <w:rPr>
          <w:rFonts w:ascii="Dubai" w:hAnsi="Dubai" w:eastAsia="Dubai" w:cs="Dubai"/>
          <w:b/>
          <w:color w:val="B68A35"/>
          <w:sz w:val="26"/>
          <w:szCs w:val="26"/>
          <w:rtl/>
        </w:rPr>
        <w:t>6.2  مسار إلغاء 30 حالة تواصل بالإشعار الاستباقي</w:t>
      </w:r>
      <w:bookmarkStart w:id="20" w:name="_Toc000000020"/>
      <w:bookmarkEnd w:id="20"/>
    </w:p>
    <w:p>
      <w:pPr>
        <w:bidi w:val="1"/>
        <w:spacing w:after="120"/>
        <w:jc w:val="both"/>
      </w:pPr>
      <w:r>
        <w:rPr>
          <w:rFonts w:ascii="Dubai" w:hAnsi="Dubai" w:eastAsia="Dubai" w:cs="Dubai"/>
          <w:b w:val="0"/>
          <w:i w:val="0"/>
          <w:color w:val="000000"/>
          <w:sz w:val="24"/>
          <w:szCs w:val="24"/>
          <w:u w:val="none"/>
          <w:rtl/>
        </w:rPr>
        <w:t>تحليل البيانات يكشف أن 30 حالة تواصل (3% من الإجمالي) كان يمكن إلغاؤها كلياً بمنظومة إشعارات بسيطة — دون أي تغيير هيكلي في الأنظمة أو الإجراءات:</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الأثر المتوقع</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القناة</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محتوى الإشعار (مثال)</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الحالات المُلغاة</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نوع الإشعار</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إلغاء 12 حالة (1.1% من إجمالي الحالات)</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SMS + إشعار داخل تطبيق MOI</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«المتعامل الكريم، تمت مراجعة مخالفة رقم [X] وتبيّن اختلاف صورة المركبة. الرجاء التحقق عبر تطبيق MOI أو الرد خلال [X] أيام لاتخاذ الإجراء المناسب.»</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12 حالة</w:t>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WRONG_VEHICLE_IMAGE_IN_FINE</w:t>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إلغاء 10 حالات (0.9% من إجمالي الحالات)</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SMS مع رابط تتبع</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«المتعامل الكريم، تم إنجاز طلبك رقم [X]. لتحميل الشهادة/المستند يرجى الدخول إلى تطبيق MOI أو استخدام رابط التتبع [X]. في حال وجود استفسار يرجى التواصل.»</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10 حالات</w:t>
            </w:r>
          </w:p>
        </w:tc>
        <w:tc>
          <w:tcPr>
            <w:tcW w:type="dxa" w:w="1872"/>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SERVICE_COMPLETED_BUT_NOT_DELIVERED</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إلغاء 8 حالات (0.7% من إجمالي الحالات)</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SMS + بريد إلكتروني</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«المتعامل الكريم، طلبك رقم [X] ما زال قيد الإجراء لدى الجهة المختصة، والمدة التقديرية للإنجاز حتى تاريخ [X]. لا حاجة لتقديم استفسار جديد حالياً.»</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8 حالات</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PROCESSING_DELAY_NO_STATUS_UPDATES</w:t>
            </w:r>
          </w:p>
        </w:tc>
      </w:tr>
    </w:tbl>
    <w:p/>
    <w:p>
      <w:pPr>
        <w:bidi w:val="1"/>
        <w:pStyle w:val="Heading1"/>
        <w:jc w:val="left"/>
      </w:pPr>
      <w:r>
        <w:rPr>
          <w:rFonts w:ascii="Dubai" w:hAnsi="Dubai" w:eastAsia="Dubai" w:cs="Dubai"/>
          <w:b/>
          <w:color w:val="B68A35"/>
          <w:sz w:val="32"/>
          <w:szCs w:val="32"/>
          <w:rtl/>
        </w:rPr>
        <w:t>سابعاً: حالات الاستخدام المدعومة بالذكاء الاصطناعي</w:t>
      </w:r>
      <w:bookmarkStart w:id="21" w:name="_Toc000000021"/>
      <w:bookmarkEnd w:id="21"/>
    </w:p>
    <w:p>
      <w:pPr>
        <w:bidi w:val="1"/>
        <w:spacing w:after="120"/>
        <w:jc w:val="both"/>
      </w:pPr>
      <w:r>
        <w:rPr>
          <w:rFonts w:ascii="Dubai" w:hAnsi="Dubai" w:eastAsia="Dubai" w:cs="Dubai"/>
          <w:b w:val="0"/>
          <w:i w:val="0"/>
          <w:color w:val="000000"/>
          <w:sz w:val="24"/>
          <w:szCs w:val="24"/>
          <w:u w:val="none"/>
          <w:rtl/>
        </w:rPr>
        <w:t>تتكامل الفرص المرصودة في يناير - ديسمبر 2025 مع قدرات الذكاء الاصطناعي لبناء منظومة خدمة ذاتية ذكية تغطي ما يفوق 86.0% من تواصل المتعاملين الحالية دون تدخل بشري في التصنيف. ويشمل ذلك أتمتة تصنيف ومعالجة 1081 حالة عبر أربع أدوات ذكية متخصصة في التحقق من صور المخالفات، وتوجيه الجهة المختصة، وفحص جودة الوثائق، ورصد الاحتكاكات الجغرافية.</w:t>
      </w:r>
    </w:p>
    <w:p>
      <w:pPr>
        <w:bidi w:val="1"/>
        <w:spacing w:after="120"/>
        <w:jc w:val="both"/>
      </w:pPr>
      <w:r>
        <w:rPr>
          <w:rFonts w:ascii="Dubai" w:hAnsi="Dubai" w:eastAsia="Dubai" w:cs="Dubai"/>
          <w:b w:val="0"/>
          <w:i w:val="0"/>
          <w:color w:val="000000"/>
          <w:sz w:val="24"/>
          <w:szCs w:val="24"/>
          <w:u w:val="none"/>
          <w:rtl/>
        </w:rPr>
        <w:t>ملاحظة محورية: بيانات التدريب جاهزة الآن اعتماداً على 1081 حالة مصنفة وموسومة من الفترة يناير - ديسمبر 2025، تمثل عينة واقعية كاملة لطبيعة استفسارات المتعاملين مع شرطة الفجيرة. ويتيح هذا المخزون من البيانات المعلّمة البدء الفوري في تدريب نموذج التصنيف المدعوم بالذكاء الاصطناعي ومواءمته مع بيئة العمل التشغيلية الحالية.</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تقييم التنفيذ</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الأثر المتوقع على بيانات يناير - ديسمبر 2025</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الوظيفة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الأداة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مرتفع — 9+ أشهر (يتطلب الوصول لتغذية لحظية من كاميرات المخالفات) مع تكامل كامل مع قواعد بيانات المركبات والأنظمة المرورية القائمة.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منع 155+ حالة «مشكوك فيها» من الوصول إلى المتعامل أصلاً — يحل المشكلة عند المصدر لا بعد الشكوى</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يُفعّل النظام تلقائياً عند تسجيل مخالفة مرورية جديدة مرفقة بصورة للمركبة، مستفيداً من تقنيات Computer Vision لقراءة ألوان المركبة وخصائصها مقارنة ببيانات سجل المركبة في أنظمة MOI. يستخدم بيانات اللوحة، وصف المركبة، وتوقيت المخالفة لمطابقة الصورة مع السجل المروري القائم. يُنتج مخرجات تنبيه آلي إلى نظام CRM توضح مستوى التطابق أو الاشتباه، مع توصية آلية بالموافقة أو الإحالة للمراجعة قبل إصدار المخالفة.</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نظام رؤية حاسوبية للتحقق من صور المخالفات</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متوسط — 3-4 أشهر (يتطلب خريطة صلاحيات موثقة لكل الجهات) إضافة إلى تكامل تقني بسيط مع نظام CRM الحالي.</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في يناير - ديسمبر 2025: لم يتم التعرف على حالات موجهة لجهة خاطئة في البيانات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يُفعّل هذا النموذج فور إنشاء حالة جديدة في CRM أو استقبال رسالة عبر القنوات الرقمية، ويستخدم نموذج تصنيف نصي يعتمد على معالجة اللغة العربية لاستخلاص موضوع الطلب. يستعين بقاعدة بيانات لصلاحيات الجهات الحكومية لربط نوع الطلب بالجهة المختصة مثل شرطة الفجيرة أو RTA دبي أو بلدية الفجيرة أو جهات أخرى. يُنتج مخرجاً يتضمن الجهة الصحيحة وتوصية آلية بالمسار المناسب، مع إمكانية إرسال إشعار فوري للمتعامل عبر SMS أو البريد الإلكتروني بالتوجيه المعتمد.</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موجه نصي ذكي لاختيار الجهة الحكومية المختصة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متوسط — 3-4 أشهر (نموذج OCR ومعايير التحقق من الوثائق متاحة تجارياً) مع تعديلات محدودة على واجهات المتعامل والتكامل مع أنظمة الترخيص.</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منع 116+ حالة رخصة متوقفة لصورة غير مستوفية — يحل المشكلة قبل أن تُسجَّل في CRM</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يُفعّل المدقق مباشرة عند قيام المتعامل برفع أي مستند إلى بوابة الخدمة أو نظام CRM، مستعملاً تقنيات OCR وفحص جودة الصور للتحقق من وضوح الصورة، وصلاحية الشهادات، وقراءة الحقول الإلزامية. يستخدم بيانات الهوية، صورة المتعامل، وشهادات الفحص والمرفقات الأخرى لمطابقتها مع المتطلبات المعتمدة لكل نوع خدمة. يُنتج تنبيهاً فورياً على واجهة المتعامل يحدد الأخطاء مثل نقص الملفات، انتهاء الصلاحية أو عدم تطابق رقم الهوية، مع إرشادات دقيقة لتصحيح الوثائق قبل الإرسال النهائي.</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مدقق آلي لجودة واكتمال وثائق طلبات التراخيص</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منخفض–متوسط — 2-3 أشهر (بيانات الموقع مستخرجة من نصوص CRM الموجودة) مع حاجة محدودة لاستخدام نظم المعلومات الجغرافية الحالية.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في يناير - ديسمبر 2025: لم يتم التعرف على مقترحات بنية تحتية جغرافية في البيانات</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يُشغّل الرادار دورياً على بيانات الشكاوى والبلاغات المسجلة في CRM، مستفيداً من تقنيات NER لاستخراج الكيانات الجغرافية مثل الأحياء، الشوارع، والتقاطعات من النصوص العربية. يدمج هذه البيانات مع إحداثيات جغرافية لإنشاء خريطة حرارية تبرز التجمعات غير الاعتيادية للبلاغات أو المقترحات في مناطق محددة. يُنتج تقارير ولوحات معلومات مكانية تدعم متخذي القرار في تخطيط الدوريات وأولويات مشاريع البنية التحتية والتهدئة المرورية في المناطق الأكثر حساسية.</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رادار ذكاء اصطناعي لرصد الاحتكاكات الجغرافية المتكررة</w:t>
            </w:r>
          </w:p>
        </w:tc>
      </w:tr>
    </w:tbl>
    <w:p/>
    <w:p>
      <w:pPr>
        <w:bidi w:val="1"/>
        <w:pStyle w:val="Heading1"/>
        <w:jc w:val="left"/>
      </w:pPr>
      <w:r>
        <w:rPr>
          <w:rFonts w:ascii="Dubai" w:hAnsi="Dubai" w:eastAsia="Dubai" w:cs="Dubai"/>
          <w:b/>
          <w:color w:val="B68A35"/>
          <w:sz w:val="32"/>
          <w:szCs w:val="32"/>
          <w:rtl/>
        </w:rPr>
        <w:t>ثامناً: خارطة الطريق التحسينية المقترحة</w:t>
      </w:r>
      <w:bookmarkStart w:id="22" w:name="_Toc000000022"/>
      <w:bookmarkEnd w:id="22"/>
    </w:p>
    <w:p>
      <w:pPr>
        <w:bidi w:val="1"/>
        <w:spacing w:after="120"/>
        <w:jc w:val="both"/>
      </w:pPr>
      <w:r>
        <w:rPr>
          <w:rFonts w:ascii="Dubai" w:hAnsi="Dubai" w:eastAsia="Dubai" w:cs="Dubai"/>
          <w:b w:val="0"/>
          <w:i w:val="0"/>
          <w:color w:val="000000"/>
          <w:sz w:val="24"/>
          <w:szCs w:val="24"/>
          <w:u w:val="none"/>
          <w:rtl/>
        </w:rPr>
        <w:t>تجمع هذه الخارطة توصيات التحليلات الأربعة في منظومة أولويات متدرجة، تستند حصراً إلى بيانات الفترة يناير - ديسمبر 2025 وتغطي جميع أنماط استفسارات المتعاملين المسجلة وعددها الكلي 1081 حالة. وتضم الخارطة سبعة بنود تحسين محددة بالكامل من واقع البيانات دون توصيات عامة، مرتبة حسب قوة الأثر المتوقع وسهولة التنفيذ عبر الأفق الزمني الفوري والقصير والطويل المدى.</w:t>
      </w:r>
    </w:p>
    <w:tbl>
      <w:tblPr>
        <w:tblStyle w:val="TableGrid"/>
        <w:tblW w:type="auto" w:w="0"/>
        <w:tblLook w:firstColumn="1" w:firstRow="1" w:lastColumn="0" w:lastRow="0" w:noHBand="0" w:noVBand="1" w:val="04A0"/>
        <w:tblLayout w:type="fixed"/>
      </w:tblPr>
      <w:tblGrid>
        <w:gridCol w:w="1560"/>
        <w:gridCol w:w="1560"/>
        <w:gridCol w:w="1560"/>
        <w:gridCol w:w="1560"/>
        <w:gridCol w:w="1560"/>
        <w:gridCol w:w="1560"/>
      </w:tblGrid>
      <w:tr>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الجهد</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الأثر المتوقع</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المصدر</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التوصية</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الأفق الزمني</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منخفض</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إلغاء 123+ حالة تواصل مرتبطة بالاعتراض على صحة صورة المخالفة أو ملكية المركبة، وخفض وقت معالجة الشكاوى وتحويلها إلى طلبات موثقة عبر القنوات الرقمية.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التحليل</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تصميم قالب موحد في نظام المخالفات يرسل عبر SMS وتطبيق وزارة الداخلية، يتضمن صورة عالية الدقة للمركبة، رقم اللوحة، موقع المخالفة ووقتها، مع رابط اعتراض مباشر في حال وجود خطأ.</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1</w:t>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فوري</w:t>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منخفض</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تقليص 103+ حالة تواصل ناتجة عن الاستفسار حول مكان الرخص والملكيات المرسلة بالبريد، وزيادة اعتماد المتعاملين على التتبع الذاتي بدلاً من الاتصال المباشر.</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التحليل</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تفعيل إشعار فوري آلي عبر SMS وتطبيق MOI عند تسليم الرخصة أو الملكية لشركة التوصيل، يتضمن رقم الشحنة، اسم الشركة، رابط تتبع، وتنبيهاً تلقائياً عند إرجاع الشحنة للجهة المصدرة.</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2</w:t>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فوري</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منخفض</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تحويل 82+ حالة متابعة هاتفية إلى إشعارات رقمية استباقية، وتقليل شعور المتعامل بتأخر الإنجاز عبر إظهار حالة الطلب الزمنية ومرحلة المعالجة بوضوح وشفافية.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التحليل</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إطلاق مسار تحديث آلي في بوابة وزارة الداخلية والتطبيق يرسل SMS وبريد إلكتروني عند انتقال طلب ترخيص السلاح والرخص بين مراحل قيد المراجعة، التدقيق الأمني، الموافقة أو الرفض مع ذكر السبب.</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3</w:t>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فوري</w:t>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منخفض</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تقليص 42+ حالة مرتبطة بتأخر البت في تراخيص الأسلحة والرخص عبر توحيد المعلومات وتوضيح المدد المتوقعة ومسار المتابعة، ما يقلل الشكاوى الناتجة عن عدم وضوح الإجراءات.</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التحليل</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إضافة مجموعة خدمات متكاملة بعنوان تراخيص الأسلحة في البوابة والتطبيق، تتضمن دليل أنواعه وشروطه والمستندات وSLA وآليات التدقيق والمتابعة، مع تفعيل رسائل SMS وبريد إلكتروني في المراحل الحرجة للطلب.</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4</w:t>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فوري</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متوسط</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إلغاء 116+ حالة مرتبطة بتأخر أو تعذر استلام الوثائق المطبوعة، عبر تمكين المتعامل من تتبع شحنته وفهم مسار التصعيد دون الحاجة للاتصال المتكرر بمركز الخدمة.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كلا المصدرَين</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إنشاء صفحة موحدة بعنوان تسليم وتتبع الرخص والملكيات في البوابة والتطبيق، مرتبطة آلياً بكل خدمة توصيل، تشرح زمن التوصيل، سيناريوهات فشل التسليم، وخطوات التصعيد، مع رسائل SMS تذكيرية برابط التتبع.</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5</w:t>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قصير المدى</w:t>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متوسط</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تقليص 57+ حالة ناتجة عن مشاكل الدفع الإلكتروني، بتحويلها إلى طلبات معالجة مالية منظمة بمدد إنجاز معلنة، وتقليل الشكاوى غير المهيكلة حول الخصم والعمليات الفاشلة.</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كلا المصدرَين</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تطوير قسم إرشادي موحد في البوابة والتطبيق لكل خدمات الدفع الإلكتروني يوضح سيناريوهات فشل الدفع والخصم دون خدمة أو الخصم المزدوج، مع ربط خدمة استرجاع قيمة المخالفات ونموذج طلب استرداد رقمي واضح.</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6</w:t>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 قصير المدى</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مرتفع</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تقليل جذري لوصول المخالفات المشكوك فيها للمتعامل، وخفض عبء الاعتراضات المستقبلية عبر كشف الأخطاء آلياً عند المصدر وتحويلها لمراجعة داخلية قبل الإصدار.</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كلا المصدرَين</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بناء نظام رؤية حاسوبية متكامل مرتبط بمنظومة الرادارات وCRM، يتحقق تلقائياً من تطابق لوحة المركبة والموقع والوقت في صورة المخالفة قبل إرسالها، ويحجز الحالات المشتبه بها للمراجعة البشرية المسبقة.</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7</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 طويل المدى</w:t>
            </w:r>
          </w:p>
        </w:tc>
      </w:tr>
    </w:tbl>
    <w:p/>
    <w:p>
      <w:pPr>
        <w:bidi w:val="1"/>
        <w:pStyle w:val="Heading1"/>
        <w:jc w:val="left"/>
      </w:pPr>
      <w:r>
        <w:rPr>
          <w:rFonts w:ascii="Dubai" w:hAnsi="Dubai" w:eastAsia="Dubai" w:cs="Dubai"/>
          <w:b/>
          <w:color w:val="B68A35"/>
          <w:sz w:val="32"/>
          <w:szCs w:val="32"/>
          <w:rtl/>
        </w:rPr>
        <w:t>تاسعاً: الخلاصة — من البيانات إلى القرار</w:t>
      </w:r>
      <w:bookmarkStart w:id="23" w:name="_Toc000000023"/>
      <w:bookmarkEnd w:id="23"/>
    </w:p>
    <w:p>
      <w:pPr>
        <w:bidi w:val="1"/>
        <w:spacing w:after="120"/>
        <w:jc w:val="both"/>
      </w:pPr>
      <w:r>
        <w:rPr>
          <w:rFonts w:ascii="Dubai" w:hAnsi="Dubai" w:eastAsia="Dubai" w:cs="Dubai"/>
          <w:b w:val="0"/>
          <w:i w:val="0"/>
          <w:color w:val="000000"/>
          <w:sz w:val="24"/>
          <w:szCs w:val="24"/>
          <w:u w:val="none"/>
          <w:rtl/>
        </w:rPr>
        <w:t>الرسالة النهائية: إن تسجيل 96.4% من الطلبات عبر القنوات الرقمية للتقديم «التطبيق / الموقع الإلكتروني / بريد الكتروني / NCRM» بالتزامن مع تحقيق نسبة إغلاق ضمن مستوى الاتفاق على مستوى الخدمة بلغت 96.9% يؤكد تميز كفاءة قناة الدخول التشغيلية، بينما يوضح أن 45.8% من حالات الاحتكاك ترتبط بسياق الخدمة الرقمية ذاتها مثل خطأ التطبيق أو التجديد الإلكتروني أو الدفع الرقمي، بما يعني أن الفجوة ليست في إتاحة القناة بل في كفاءة الوظائف الرقمية. وتظهر إعادة التصنيف التي شملت 930 حالة بنسبة 86.0% أن التحدي الجوهري لا يتعلق بفقدان قنوات تواصل جديدة بقدر ما يتعلق بفقدان وظائف وخدمات مساندة دقيقة، حيث برزت نقطة الاحتكاك الأعلى في «مخالفات مرورية على غير المركبة أو مع غياب المتعامل عن الفجيرة» بعدد 155 حالة. وبناءً على ما سبق، يثبت هذا التحليل أن مسار التحسين الفعّال يتركز في إغلاق الفجوات الوظيفية، وتفعيل الإشعار الاستباقي لإلغاء أكثر من 30 حالة قابلة للإلغاء، وتصحيح جودة البيانات بما يضمن معالجة منهجية للعدد البالغ 4 من الفجوات الحرجة دون الحاجة إلى توسيع الموارد البشرية.</w:t>
      </w:r>
    </w:p>
    <w:p>
      <w:pPr>
        <w:bidi w:val="1"/>
        <w:pStyle w:val="Heading2"/>
        <w:jc w:val="left"/>
      </w:pPr>
      <w:r>
        <w:rPr>
          <w:rFonts w:ascii="Dubai" w:hAnsi="Dubai" w:eastAsia="Dubai" w:cs="Dubai"/>
          <w:b/>
          <w:color w:val="B68A35"/>
          <w:sz w:val="26"/>
          <w:szCs w:val="26"/>
          <w:rtl/>
        </w:rPr>
        <w:t>المحاور الثلاثة للتحول</w:t>
      </w:r>
      <w:bookmarkStart w:id="24" w:name="_Toc000000024"/>
      <w:bookmarkEnd w:id="24"/>
    </w:p>
    <w:tbl>
      <w:tblPr>
        <w:tblStyle w:val="TableGrid"/>
        <w:tblW w:type="auto" w:w="0"/>
        <w:tblLook w:firstColumn="1" w:firstRow="1" w:lastColumn="0" w:lastRow="0" w:noHBand="0" w:noVBand="1" w:val="04A0"/>
        <w:tblLayout w:type="fixed"/>
      </w:tblPr>
      <w:tblGrid>
        <w:gridCol w:w="3120"/>
        <w:gridCol w:w="3120"/>
        <w:gridCol w:w="3120"/>
      </w:tblGrid>
      <w:tr>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المحور الثالث: الذكاء</w:t>
            </w:r>
          </w:p>
        </w:tc>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المحور الثاني: الإتاحة</w:t>
            </w:r>
          </w:p>
        </w:tc>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المحور الأول: الدقة</w:t>
            </w:r>
          </w:p>
        </w:tc>
      </w:tr>
      <w:tr>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نظام رؤية حاسوبية للتحقق من صور المخالفات</w:t>
            </w:r>
          </w:p>
        </w:tc>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أسئلة شائعة موحدة وشاملة</w:t>
            </w:r>
          </w:p>
        </w:tc>
        <w:tc>
          <w:tcPr>
            <w:tcW w:type="dxa" w:w="312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رفع دقة تصنيفات الطلبات</w:t>
            </w:r>
          </w:p>
        </w:tc>
      </w:tr>
      <w:tr>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موجه نصي ذكي لاختيار الجهة الحكومية المختصة</w:t>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WRONG_VEHICLE_IMAGE_IN_FINE</w:t>
            </w:r>
          </w:p>
        </w:tc>
        <w:tc>
          <w:tcPr>
            <w:tcW w:type="dxa" w:w="312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إضافة حقلي السبب الجذري وزمن المعالجة في حل الطلب</w:t>
            </w:r>
          </w:p>
        </w:tc>
      </w:tr>
      <w:tr>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مدقق آلي لجودة واكتمال وثائق طلبات التراخيص</w:t>
            </w:r>
          </w:p>
        </w:tc>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SERVICE_COMPLETED_BUT_NOT_DELIVERED</w:t>
            </w:r>
          </w:p>
        </w:tc>
        <w:tc>
          <w:tcPr>
            <w:tcW w:type="dxa" w:w="312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bidi w:val="1"/>
              <w:spacing w:before="60" w:after="60"/>
            </w:pPr>
            <w:r>
              <w:rPr>
                <w:rFonts w:ascii="Dubai" w:hAnsi="Dubai" w:eastAsia="Dubai" w:cs="Dubai"/>
                <w:b w:val="0"/>
                <w:color w:val="000000"/>
                <w:sz w:val="20"/>
                <w:szCs w:val="20"/>
                <w:rtl/>
              </w:rPr>
              <w:t>إعادة هيكلة تصنيف الخدمات وإلغاء «أخرى»</w:t>
            </w:r>
          </w:p>
        </w:tc>
      </w:tr>
      <w:tr>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رادار ذكاء اصطناعي لرصد الاحتكاكات الجغرافية المتكررة</w:t>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PROCESSING_DELAY_NO_STATUS_UPDATES</w:t>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r>
          </w:p>
        </w:tc>
      </w:tr>
    </w:tbl>
    <w:p/>
    <w:p>
      <w:pPr>
        <w:bidi w:val="1"/>
        <w:pStyle w:val="Heading2"/>
        <w:jc w:val="left"/>
      </w:pPr>
      <w:r>
        <w:rPr>
          <w:rFonts w:ascii="Dubai" w:hAnsi="Dubai" w:eastAsia="Dubai" w:cs="Dubai"/>
          <w:b/>
          <w:color w:val="B68A35"/>
          <w:sz w:val="26"/>
          <w:szCs w:val="26"/>
          <w:rtl/>
        </w:rPr>
        <w:t>الأثر المجمّع المتوقع:</w:t>
      </w:r>
      <w:bookmarkStart w:id="25" w:name="_Toc000000025"/>
      <w:bookmarkEnd w:id="25"/>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30-40%</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95%+</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30+</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color w:val="FFFFFF"/>
                <w:sz w:val="20"/>
                <w:szCs w:val="20"/>
                <w:rtl/>
              </w:rPr>
              <w:t>13.6%</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خفض حالات التواصل المتكرر والاتصالات</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دقة تصنيف الحالات بعد المُصنِّف الآلي وتطبيق المبادرات المقترحة</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حالة قابلة للإلغاء بالإشعار الاستباقي</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bidi w:val="1"/>
              <w:spacing w:before="60" w:after="60"/>
            </w:pPr>
            <w:r>
              <w:rPr>
                <w:rFonts w:ascii="Dubai" w:hAnsi="Dubai" w:eastAsia="Dubai" w:cs="Dubai"/>
                <w:b w:val="0"/>
                <w:color w:val="000000"/>
                <w:sz w:val="20"/>
                <w:szCs w:val="20"/>
                <w:rtl/>
              </w:rPr>
              <w:t>من طلبات التواصل هي استفسارات حقيقية قابلة للتحويل الكامل للخدمة الاستباقية</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Footer"/>
      <w:jc w:val="center"/>
      <w:pBdr>
        <w:top w:val="single" w:sz="12" w:space="4" w:color="B68A35"/>
      </w:pBdr>
    </w:pPr>
    <w:r>
      <w:rPr>
        <w:rFonts w:ascii="Dubai" w:hAnsi="Dubai" w:eastAsia="Dubai" w:cs="Dubai"/>
        <w:sz w:val="18"/>
        <w:szCs w:val="18"/>
      </w:rPr>
      <w:t xml:space="preserve">سري — للاستخدام الداخلي  |  صفحة </w:t>
    </w:r>
    <w:r>
      <w:rPr>
        <w:rFonts w:ascii="Dubai" w:hAnsi="Dubai" w:eastAsia="Dubai" w:cs="Dubai"/>
        <w:sz w:val="18"/>
        <w:szCs w:val="18"/>
      </w:rPr>
      <w:t>‏</w:t>
    </w:r>
    <w:r>
      <w:fldChar w:fldCharType="begin"/>
    </w:r>
    <w:r>
      <w:instrText xml:space="preserve"> PAGE </w:instrText>
    </w:r>
    <w:r>
      <w:fldChar w:fldCharType="end"/>
    </w:r>
    <w:r>
      <w:rPr>
        <w:rFonts w:ascii="Dubai" w:hAnsi="Dubai" w:eastAsia="Dubai" w:cs="Dubai"/>
        <w:sz w:val="18"/>
        <w:szCs w:val="1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jc w:val="center"/>
      <w:pBdr>
        <w:bottom w:val="single" w:sz="12" w:space="4" w:color="B68A35"/>
      </w:pBdr>
    </w:pPr>
    <w:r>
      <w:rPr>
        <w:rFonts w:ascii="Dubai" w:hAnsi="Dubai" w:eastAsia="Dubai" w:cs="Dubai"/>
        <w:color w:val="B68A35"/>
        <w:sz w:val="20"/>
        <w:szCs w:val="20"/>
        <w:rtl/>
      </w:rPr>
      <w:t>تقرير تحليل استفسارات المتعاملين  ·  يناير - ديسمبر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ubai" w:hAnsi="Dubai" w:cs="Duba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ubai" w:hAnsi="Dubai" w:cs="Dubai"/>
      <w:b/>
      <w:bCs/>
      <w:color w:val="B68A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ubai" w:hAnsi="Dubai" w:cs="Dubai"/>
      <w:b/>
      <w:bCs/>
      <w:color w:val="B68A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ubai" w:hAnsi="Dubai" w:cs="Dubai"/>
      <w:b/>
      <w:bCs/>
      <w:color w:val="B68A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Heading">
    <w:name w:val="TOC Heading"/>
    <w:basedOn w:val="Heading1"/>
    <w:next w:val="Normal"/>
    <w:uiPriority w:val="39"/>
    <w:unhideWhenUsed/>
    <w:qFormat/>
    <w:pPr>
      <w:shd w:val="clear" w:color="auto" w:fill="B68A35"/>
      <w:bidi/>
      <w:spacing w:before="0" w:line="240" w:lineRule="auto"/>
      <w:ind w:left="0"/>
      <w:jc w:val="left"/>
    </w:pPr>
    <w:rPr>
      <w:rFonts w:ascii="Dubai" w:hAnsi="Dubai" w:cs="Dubai"/>
      <w:b/>
      <w:bCs/>
      <w:color w:val="FFFFFF"/>
      <w:rtl/>
    </w:rPr>
  </w:style>
  <w:style w:type="paragraph" w:styleId="TOC1">
    <w:name w:val="toc 1"/>
    <w:basedOn w:val="Normal"/>
    <w:next w:val="Normal"/>
    <w:autoRedefine/>
    <w:uiPriority w:val="39"/>
    <w:unhideWhenUsed/>
    <w:pPr>
      <w:tabs>
        <w:tab w:val="right" w:leader="dot" w:pos="9310"/>
      </w:tabs>
      <w:bidi/>
      <w:spacing w:after="100"/>
      <w:jc w:val="left"/>
    </w:pPr>
    <w:rPr>
      <w:rFonts w:cs="Dubai"/>
    </w:rPr>
  </w:style>
  <w:style w:type="paragraph" w:styleId="TOC2">
    <w:name w:val="toc 2"/>
    <w:basedOn w:val="Normal"/>
    <w:next w:val="Normal"/>
    <w:autoRedefine/>
    <w:uiPriority w:val="39"/>
    <w:unhideWhenUsed/>
    <w:pPr>
      <w:tabs>
        <w:tab w:val="right" w:leader="dot" w:pos="9310"/>
      </w:tabs>
      <w:bidi/>
      <w:spacing w:after="100"/>
      <w:jc w:val="left"/>
    </w:pPr>
    <w:rPr>
      <w:rFonts w:cs="Dubai"/>
    </w:rPr>
  </w:style>
  <w:style w:type="paragraph" w:styleId="TOC3">
    <w:name w:val="toc 3"/>
    <w:basedOn w:val="Normal"/>
    <w:next w:val="Normal"/>
    <w:autoRedefine/>
    <w:uiPriority w:val="39"/>
    <w:unhideWhenUsed/>
    <w:pPr>
      <w:tabs>
        <w:tab w:val="right" w:leader="dot" w:pos="9310"/>
      </w:tabs>
      <w:bidi/>
      <w:spacing w:after="100"/>
      <w:jc w:val="left"/>
    </w:pPr>
    <w:rPr>
      <w:rFonts w:cs="Dubai"/>
    </w:rPr>
  </w:style>
  <w:style w:type="character" w:styleId="Hyperlink">
    <w:name w:val="Hyperlink"/>
    <w:basedOn w:val="DefaultParagraphFont"/>
    <w:uiPriority w:val="99"/>
    <w:unhideWhenUsed/>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hart" Target="charts/chart1.xml"/><Relationship Id="rId13" Type="http://schemas.openxmlformats.org/officeDocument/2006/relationships/chart" Target="charts/chart2.xml"/><Relationship Id="rId14" Type="http://schemas.openxmlformats.org/officeDocument/2006/relationships/chart" Target="charts/chart3.xml"/><Relationship Id="rId15"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chart1_data.xlsx"/></Relationships>
</file>

<file path=word/charts/_rels/chart2.xml.rels><?xml version="1.0" encoding="UTF-8" standalone="yes"?>
<Relationships xmlns="http://schemas.openxmlformats.org/package/2006/relationships"><Relationship Id="rId1" Type="http://schemas.openxmlformats.org/officeDocument/2006/relationships/package" Target="../embeddings/chart2_data.xlsx"/></Relationships>
</file>

<file path=word/charts/_rels/chart3.xml.rels><?xml version="1.0" encoding="UTF-8" standalone="yes"?>
<Relationships xmlns="http://schemas.openxmlformats.org/package/2006/relationships"><Relationship Id="rId1" Type="http://schemas.openxmlformats.org/officeDocument/2006/relationships/package" Target="../embeddings/chart3_data.xlsx"/></Relationships>
</file>

<file path=word/charts/_rels/chart4.xml.rels><?xml version="1.0" encoding="UTF-8" standalone="yes"?>
<Relationships xmlns="http://schemas.openxmlformats.org/package/2006/relationships"><Relationship Id="rId1" Type="http://schemas.openxmlformats.org/officeDocument/2006/relationships/package" Target="../embeddings/chart4_data.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التصنيف الأصلي مقارنةً بالتصنيف الصحيح</a:t>
            </a:r>
          </a:p>
        </c:rich>
      </c:tx>
      <c:overlay val="0"/>
    </c:title>
    <c:plotArea>
      <c:layout/>
      <c:barChart>
        <c:barDir val="col"/>
        <c:grouping val="clustered"/>
        <c:varyColors val="0"/>
        <c:ser>
          <c:idx val="0"/>
          <c:order val="0"/>
          <c:tx>
            <c:strRef>
              <c:f>Sheet1!$B$1</c:f>
              <c:strCache>
                <c:ptCount val="1"/>
                <c:pt idx="0">
                  <c:v>التصنيف الصحيح</c:v>
                </c:pt>
              </c:strCache>
            </c:strRef>
          </c:tx>
          <c:spPr>
            <a:solidFill>
              <a:srgbClr val="B68A35"/>
            </a:solidFill>
            <a:ln>
              <a:solidFill>
                <a:srgbClr val="B68A35"/>
              </a:solidFill>
            </a:ln>
          </c:spPr>
          <c:cat>
            <c:strRef>
              <c:f>Sheet1!$A$2:$A$5</c:f>
              <c:strCache>
                <c:ptCount val="4"/>
                <c:pt idx="0">
                  <c:v>شكوى</c:v>
                </c:pt>
                <c:pt idx="1">
                  <c:v>استفسار</c:v>
                </c:pt>
                <c:pt idx="2">
                  <c:v>طلب</c:v>
                </c:pt>
                <c:pt idx="3">
                  <c:v>شكر وثناء</c:v>
                </c:pt>
              </c:strCache>
            </c:strRef>
          </c:cat>
          <c:val>
            <c:numRef>
              <c:f>Sheet1!$B$2:$B$5</c:f>
              <c:numCache>
                <c:formatCode>General</c:formatCode>
                <c:ptCount val="4"/>
                <c:pt idx="0">
                  <c:v>705.0</c:v>
                </c:pt>
                <c:pt idx="1">
                  <c:v>147.0</c:v>
                </c:pt>
                <c:pt idx="2">
                  <c:v>219.0</c:v>
                </c:pt>
                <c:pt idx="3">
                  <c:v>10.0</c:v>
                </c:pt>
              </c:numCache>
            </c:numRef>
          </c:val>
        </c:ser>
        <c:ser>
          <c:idx val="1"/>
          <c:order val="1"/>
          <c:tx>
            <c:strRef>
              <c:f>Sheet1!$C$1</c:f>
              <c:strCache>
                <c:ptCount val="1"/>
                <c:pt idx="0">
                  <c:v>التصنيف الأصلي</c:v>
                </c:pt>
              </c:strCache>
            </c:strRef>
          </c:tx>
          <c:spPr>
            <a:solidFill>
              <a:srgbClr val="E5E5E5"/>
            </a:solidFill>
            <a:ln>
              <a:solidFill>
                <a:srgbClr val="E5E5E5"/>
              </a:solidFill>
            </a:ln>
          </c:spPr>
          <c:cat>
            <c:strRef>
              <c:f>Sheet1!$A$2:$A$5</c:f>
              <c:strCache>
                <c:ptCount val="4"/>
                <c:pt idx="0">
                  <c:v>شكوى</c:v>
                </c:pt>
                <c:pt idx="1">
                  <c:v>استفسار</c:v>
                </c:pt>
                <c:pt idx="2">
                  <c:v>طلب</c:v>
                </c:pt>
                <c:pt idx="3">
                  <c:v>شكر وثناء</c:v>
                </c:pt>
              </c:strCache>
            </c:strRef>
          </c:cat>
          <c:val>
            <c:numRef>
              <c:f>Sheet1!$C$2:$C$5</c:f>
              <c:numCache>
                <c:formatCode>General</c:formatCode>
                <c:ptCount val="4"/>
                <c:pt idx="0">
                  <c:v>0.0</c:v>
                </c:pt>
                <c:pt idx="1">
                  <c:v>1067.0</c:v>
                </c:pt>
                <c:pt idx="2">
                  <c:v>6.0</c:v>
                </c:pt>
                <c:pt idx="3">
                  <c:v>0.0</c:v>
                </c:pt>
              </c:numCache>
            </c:numRef>
          </c:val>
        </c:ser>
        <c:axId val="1"/>
        <c:axId val="2"/>
      </c:barChart>
      <c:catAx>
        <c:axId val="1"/>
        <c:scaling>
          <c:orientation val="minMax"/>
        </c:scaling>
        <c:delete val="0"/>
        <c:axPos val="b"/>
        <c:majorTickMark val="out"/>
        <c:minorTickMark val="none"/>
        <c:tickLblPos val="nextTo"/>
        <c:crossAx val="2"/>
        <c:crosses val="autoZero"/>
        <c:auto val="1"/>
        <c:lblAlgn val="ctr"/>
        <c:lblOffset val="100"/>
        <c:noMultiLvlLbl val="0"/>
        <c:txPr>
          <a:bodyPr/>
          <a:lstStyle/>
          <a:p>
            <a:pPr>
              <a:defRPr sz="900"/>
            </a:pPr>
          </a:p>
        </c:txPr>
      </c:catAx>
      <c:valAx>
        <c:axId val="2"/>
        <c:scaling/>
        <c:delete val="0"/>
        <c:axPos val="l"/>
        <c:majorGridlines/>
        <c:majorTickMark val="out"/>
        <c:minorTickMark val="none"/>
        <c:tickLblPos val="nextTo"/>
        <c:crossAx val="1"/>
        <c:crosses val="autoZero"/>
        <c:txPr>
          <a:bodyPr/>
          <a:lstStyle/>
          <a:p>
            <a:pPr>
              <a:defRPr sz="900"/>
            </a:pPr>
          </a:p>
        </c:txPr>
      </c:valAx>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توزيع الطلبات على الخدمات</a:t>
            </a:r>
          </a:p>
        </c:rich>
      </c:tx>
      <c:overlay val="0"/>
    </c:title>
    <c:plotArea>
      <c:layout/>
      <c:barChart>
        <c:barDir val="col"/>
        <c:grouping val="clustered"/>
        <c:varyColors val="0"/>
        <c:ser>
          <c:idx val="0"/>
          <c:order val="0"/>
          <c:tx>
            <c:strRef>
              <c:f>Sheet1!$B$1</c:f>
              <c:strCache>
                <c:ptCount val="1"/>
                <c:pt idx="0">
                  <c:v>توزيع الطلبات على الخدمات</c:v>
                </c:pt>
              </c:strCache>
            </c:strRef>
          </c:tx>
          <c:spPr>
            <a:solidFill>
              <a:srgbClr val="B68A35"/>
            </a:solidFill>
            <a:ln>
              <a:solidFill>
                <a:srgbClr val="B68A35"/>
              </a:solidFill>
            </a:ln>
          </c:spPr>
          <c:cat>
            <c:strRef>
              <c:f>Sheet1!$A$2:$A$38</c:f>
              <c:strCache>
                <c:ptCount val="37"/>
                <c:pt idx="0">
                  <c:v>أخرى</c:v>
                </c:pt>
                <c:pt idx="1">
                  <c:v>فتح البلاغات المرورية</c:v>
                </c:pt>
                <c:pt idx="2">
                  <c:v>إعتراض على المخالفات المرورية</c:v>
                </c:pt>
                <c:pt idx="3">
                  <c:v>فتح البلاغات الجنائية</c:v>
                </c:pt>
                <c:pt idx="4">
                  <c:v>توصيل رخصة القيادة</c:v>
                </c:pt>
                <c:pt idx="5">
                  <c:v>التحقق من المخالفات المرورية</c:v>
                </c:pt>
                <c:pt idx="6">
                  <c:v>طلب الموافقة على ترخيص سلاح (سلاح جديد)</c:v>
                </c:pt>
                <c:pt idx="7">
                  <c:v>دفع المخالفات المرورية</c:v>
                </c:pt>
                <c:pt idx="8">
                  <c:v>تجديد رخصة قيادة مركبة</c:v>
                </c:pt>
                <c:pt idx="9">
                  <c:v>شهادة حسن سيرة وسلوك - بحث الحالة الجنائية</c:v>
                </c:pt>
                <c:pt idx="10">
                  <c:v>تجديد ملكية مركبة</c:v>
                </c:pt>
                <c:pt idx="11">
                  <c:v>توصيل ملكية المركبة</c:v>
                </c:pt>
                <c:pt idx="12">
                  <c:v>طلب ترخيص سلاح</c:v>
                </c:pt>
                <c:pt idx="13">
                  <c:v>طلب تجديد ترخيص اقتناء واستعمال الأسلحة والذخائر (نادي رماية)</c:v>
                </c:pt>
                <c:pt idx="14">
                  <c:v>مراجعة الجهة المختصة</c:v>
                </c:pt>
                <c:pt idx="15">
                  <c:v>الاستعلام عن شكوى</c:v>
                </c:pt>
                <c:pt idx="16">
                  <c:v>تحديث بيانات الملف المروري</c:v>
                </c:pt>
                <c:pt idx="17">
                  <c:v>طلب الموافقة على شراء سلاح أو ذخيرة</c:v>
                </c:pt>
                <c:pt idx="18">
                  <c:v>إصدار تصاريح بإستخدام مواقف اصحاب الهمم</c:v>
                </c:pt>
                <c:pt idx="19">
                  <c:v>إصدار ملكية مركبة</c:v>
                </c:pt>
                <c:pt idx="20">
                  <c:v>تعديل بيانات رخصة قيادة مركبة</c:v>
                </c:pt>
                <c:pt idx="21">
                  <c:v>تحديث الرمز المروري</c:v>
                </c:pt>
                <c:pt idx="22">
                  <c:v>طلب ترخيص اقتناء واستعمال الأسلحة والذخائر (نادي رماية)</c:v>
                </c:pt>
                <c:pt idx="23">
                  <c:v>فتح ملف مروري</c:v>
                </c:pt>
                <c:pt idx="24">
                  <c:v>تحويل ملف رخصة قيادة مركبة من امارة الى اخرى</c:v>
                </c:pt>
                <c:pt idx="25">
                  <c:v>التحقق من حالة الطلب</c:v>
                </c:pt>
                <c:pt idx="26">
                  <c:v>تجديد حجز رقم مميز</c:v>
                </c:pt>
                <c:pt idx="27">
                  <c:v>فتح بلاغ لإثبات حالة</c:v>
                </c:pt>
                <c:pt idx="28">
                  <c:v>شهادة لمن يهمه الأمر للوثائق المفقودة</c:v>
                </c:pt>
                <c:pt idx="29">
                  <c:v>استبدال رخصة قيادة مركبة صادرة عن دولة اخرى</c:v>
                </c:pt>
                <c:pt idx="30">
                  <c:v>تحديث الرقم الموحد</c:v>
                </c:pt>
                <c:pt idx="31">
                  <c:v>التحقق من المعاملات المالية</c:v>
                </c:pt>
                <c:pt idx="32">
                  <c:v>تغيير بيان في بطاقة ملكية المركبة</c:v>
                </c:pt>
                <c:pt idx="33">
                  <c:v>طلب تجديد ترخيص سلاح</c:v>
                </c:pt>
                <c:pt idx="34">
                  <c:v>تحديث رقم الهاتف</c:v>
                </c:pt>
                <c:pt idx="35">
                  <c:v>التنازل عن رقم مميز</c:v>
                </c:pt>
                <c:pt idx="36">
                  <c:v>تصريح نقل الجثث (الشرطية)</c:v>
                </c:pt>
              </c:strCache>
            </c:strRef>
          </c:cat>
          <c:val>
            <c:numRef>
              <c:f>Sheet1!$B$2:$B$38</c:f>
              <c:numCache>
                <c:formatCode>General</c:formatCode>
                <c:ptCount val="37"/>
                <c:pt idx="0">
                  <c:v>426.0</c:v>
                </c:pt>
                <c:pt idx="1">
                  <c:v>180.0</c:v>
                </c:pt>
                <c:pt idx="2">
                  <c:v>145.0</c:v>
                </c:pt>
                <c:pt idx="3">
                  <c:v>89.0</c:v>
                </c:pt>
                <c:pt idx="4">
                  <c:v>36.0</c:v>
                </c:pt>
                <c:pt idx="5">
                  <c:v>24.0</c:v>
                </c:pt>
                <c:pt idx="6">
                  <c:v>22.0</c:v>
                </c:pt>
                <c:pt idx="7">
                  <c:v>20.0</c:v>
                </c:pt>
                <c:pt idx="8">
                  <c:v>15.0</c:v>
                </c:pt>
                <c:pt idx="9">
                  <c:v>13.0</c:v>
                </c:pt>
                <c:pt idx="10">
                  <c:v>13.0</c:v>
                </c:pt>
                <c:pt idx="11">
                  <c:v>10.0</c:v>
                </c:pt>
                <c:pt idx="12">
                  <c:v>8.0</c:v>
                </c:pt>
                <c:pt idx="13">
                  <c:v>8.0</c:v>
                </c:pt>
                <c:pt idx="14">
                  <c:v>6.0</c:v>
                </c:pt>
                <c:pt idx="15">
                  <c:v>6.0</c:v>
                </c:pt>
                <c:pt idx="16">
                  <c:v>5.0</c:v>
                </c:pt>
                <c:pt idx="17">
                  <c:v>4.0</c:v>
                </c:pt>
                <c:pt idx="18">
                  <c:v>4.0</c:v>
                </c:pt>
                <c:pt idx="19">
                  <c:v>4.0</c:v>
                </c:pt>
                <c:pt idx="20">
                  <c:v>4.0</c:v>
                </c:pt>
                <c:pt idx="21">
                  <c:v>3.0</c:v>
                </c:pt>
                <c:pt idx="22">
                  <c:v>3.0</c:v>
                </c:pt>
                <c:pt idx="23">
                  <c:v>3.0</c:v>
                </c:pt>
                <c:pt idx="24">
                  <c:v>3.0</c:v>
                </c:pt>
                <c:pt idx="25">
                  <c:v>2.0</c:v>
                </c:pt>
                <c:pt idx="26">
                  <c:v>2.0</c:v>
                </c:pt>
                <c:pt idx="27">
                  <c:v>2.0</c:v>
                </c:pt>
                <c:pt idx="28">
                  <c:v>2.0</c:v>
                </c:pt>
                <c:pt idx="29">
                  <c:v>2.0</c:v>
                </c:pt>
                <c:pt idx="30">
                  <c:v>1.0</c:v>
                </c:pt>
                <c:pt idx="31">
                  <c:v>1.0</c:v>
                </c:pt>
                <c:pt idx="32">
                  <c:v>1.0</c:v>
                </c:pt>
                <c:pt idx="33">
                  <c:v>1.0</c:v>
                </c:pt>
                <c:pt idx="34">
                  <c:v>1.0</c:v>
                </c:pt>
                <c:pt idx="35">
                  <c:v>1.0</c:v>
                </c:pt>
                <c:pt idx="36">
                  <c:v>1.0</c:v>
                </c:pt>
              </c:numCache>
            </c:numRef>
          </c:val>
        </c:ser>
        <c:axId val="1"/>
        <c:axId val="2"/>
      </c:barChart>
      <c:catAx>
        <c:axId val="1"/>
        <c:scaling>
          <c:orientation val="minMax"/>
        </c:scaling>
        <c:delete val="0"/>
        <c:axPos val="b"/>
        <c:majorTickMark val="out"/>
        <c:minorTickMark val="none"/>
        <c:tickLblPos val="nextTo"/>
        <c:crossAx val="2"/>
        <c:crosses val="autoZero"/>
        <c:auto val="1"/>
        <c:lblAlgn val="ctr"/>
        <c:lblOffset val="100"/>
        <c:noMultiLvlLbl val="0"/>
        <c:txPr>
          <a:bodyPr/>
          <a:lstStyle/>
          <a:p>
            <a:pPr>
              <a:defRPr sz="900"/>
            </a:pPr>
          </a:p>
        </c:txPr>
      </c:catAx>
      <c:valAx>
        <c:axId val="2"/>
        <c:scaling/>
        <c:delete val="0"/>
        <c:axPos val="l"/>
        <c:majorGridlines/>
        <c:majorTickMark val="out"/>
        <c:minorTickMark val="none"/>
        <c:tickLblPos val="nextTo"/>
        <c:crossAx val="1"/>
        <c:crosses val="autoZero"/>
        <c:txPr>
          <a:bodyPr/>
          <a:lstStyle/>
          <a:p>
            <a:pPr>
              <a:defRPr sz="900"/>
            </a:pPr>
          </a:p>
        </c:txPr>
      </c:valAx>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إغلاق الطلب خلال الوقت المحدد</a:t>
            </a:r>
          </a:p>
        </c:rich>
      </c:tx>
      <c:overlay val="0"/>
    </c:title>
    <c:plotArea>
      <c:layout/>
      <c:pieChart>
        <c:varyColors val="1"/>
        <c:ser>
          <c:idx val="0"/>
          <c:order val="0"/>
          <c:tx>
            <c:strRef>
              <c:f>Sheet1!$B$1</c:f>
              <c:strCache>
                <c:ptCount val="1"/>
                <c:pt idx="0">
                  <c:v>إغلاق الطلب خلال الوقت المحدد</c:v>
                </c:pt>
              </c:strCache>
            </c:strRef>
          </c:tx>
          <c:dPt>
            <c:idx val="0"/>
            <c:spPr>
              <a:solidFill>
                <a:srgbClr val="B68A35"/>
              </a:solidFill>
            </c:spPr>
          </c:dPt>
          <c:dPt>
            <c:idx val="1"/>
            <c:spPr>
              <a:solidFill>
                <a:srgbClr val="E5E5E5"/>
              </a:solidFill>
            </c:spPr>
          </c:dPt>
          <c:cat>
            <c:strRef>
              <c:f>Sheet1!$A$2:$A$3</c:f>
              <c:strCache>
                <c:ptCount val="2"/>
                <c:pt idx="0">
                  <c:v>ضمن الوقت المحدد</c:v>
                </c:pt>
                <c:pt idx="1">
                  <c:v>خارج الوقت المحدد</c:v>
                </c:pt>
              </c:strCache>
            </c:strRef>
          </c:cat>
          <c:val>
            <c:numRef>
              <c:f>Sheet1!$B$2:$B$3</c:f>
              <c:numCache>
                <c:formatCode>General</c:formatCode>
                <c:ptCount val="2"/>
                <c:pt idx="0">
                  <c:v>1048.0</c:v>
                </c:pt>
                <c:pt idx="1">
                  <c:v>33.0</c:v>
                </c:pt>
              </c:numCache>
            </c:numRef>
          </c:val>
          <c:dLbls>
            <c:showVal val="0"/>
            <c:showCatName val="0"/>
            <c:showSerName val="0"/>
            <c:showPercent val="1"/>
            <c:dLblPos val="bestFit"/>
            <c:txPr>
              <a:bodyPr anchor="ctr" anchorCtr="0"/>
              <a:lstStyle/>
              <a:p>
                <a:pPr>
                  <a:defRPr sz="800"/>
                </a:pPr>
              </a:p>
            </c:txPr>
          </c:dLbls>
        </c:ser>
      </c:pieChart>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شدة الطلب</a:t>
            </a:r>
          </a:p>
        </c:rich>
      </c:tx>
      <c:overlay val="0"/>
    </c:title>
    <c:plotArea>
      <c:layout/>
      <c:pieChart>
        <c:varyColors val="1"/>
        <c:ser>
          <c:idx val="0"/>
          <c:order val="0"/>
          <c:tx>
            <c:strRef>
              <c:f>Sheet1!$B$1</c:f>
              <c:strCache>
                <c:ptCount val="1"/>
                <c:pt idx="0">
                  <c:v>شدة الطلب</c:v>
                </c:pt>
              </c:strCache>
            </c:strRef>
          </c:tx>
          <c:dPt>
            <c:idx val="0"/>
            <c:spPr>
              <a:solidFill>
                <a:srgbClr val="B68A35"/>
              </a:solidFill>
            </c:spPr>
          </c:dPt>
          <c:dPt>
            <c:idx val="1"/>
            <c:spPr>
              <a:solidFill>
                <a:srgbClr val="999999"/>
              </a:solidFill>
            </c:spPr>
          </c:dPt>
          <c:dPt>
            <c:idx val="2"/>
            <c:spPr>
              <a:solidFill>
                <a:srgbClr val="FF0000"/>
              </a:solidFill>
            </c:spPr>
          </c:dPt>
          <c:cat>
            <c:strRef>
              <c:f>Sheet1!$A$2:$A$4</c:f>
              <c:strCache>
                <c:ptCount val="3"/>
                <c:pt idx="0">
                  <c:v>طلب عادي</c:v>
                </c:pt>
                <c:pt idx="1">
                  <c:v>طلب عاجل</c:v>
                </c:pt>
                <c:pt idx="2">
                  <c:v>طلب معقد</c:v>
                </c:pt>
              </c:strCache>
            </c:strRef>
          </c:cat>
          <c:val>
            <c:numRef>
              <c:f>Sheet1!$B$2:$B$4</c:f>
              <c:numCache>
                <c:formatCode>General</c:formatCode>
                <c:ptCount val="3"/>
                <c:pt idx="0">
                  <c:v>1076.0</c:v>
                </c:pt>
                <c:pt idx="1">
                  <c:v>3.0</c:v>
                </c:pt>
                <c:pt idx="2">
                  <c:v>2.0</c:v>
                </c:pt>
              </c:numCache>
            </c:numRef>
          </c:val>
          <c:dLbls>
            <c:showVal val="0"/>
            <c:showCatName val="0"/>
            <c:showSerName val="0"/>
            <c:showPercent val="1"/>
            <c:dLblPos val="bestFit"/>
            <c:txPr>
              <a:bodyPr anchor="ctr" anchorCtr="0"/>
              <a:lstStyle/>
              <a:p>
                <a:pPr>
                  <a:defRPr sz="800"/>
                </a:pPr>
              </a:p>
            </c:txPr>
          </c:dLbls>
        </c:ser>
      </c:pieChart>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