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xlsx" ContentType="application/vnd.openxmlformats-officedocument.spreadsheetml.sheet"/>
  <Override PartName="/word/charts/chart1.xml" ContentType="application/vnd.openxmlformats-officedocument.drawingml.chart+xml"/>
  <Override PartName="/word/embeddings/chart1_data.xlsx" ContentType="application/vnd.openxmlformats-officedocument.spreadsheetml.sheet"/>
  <Override PartName="/word/charts/chart2.xml" ContentType="application/vnd.openxmlformats-officedocument.drawingml.chart+xml"/>
  <Override PartName="/word/embeddings/chart2_data.xlsx" ContentType="application/vnd.openxmlformats-officedocument.spreadsheetml.sheet"/>
  <Override PartName="/word/charts/chart3.xml" ContentType="application/vnd.openxmlformats-officedocument.drawingml.chart+xml"/>
  <Override PartName="/word/embeddings/chart3_data.xlsx" ContentType="application/vnd.openxmlformats-officedocument.spreadsheetml.sheet"/>
  <Override PartName="/word/charts/chart4.xml" ContentType="application/vnd.openxmlformats-officedocument.drawingml.chart+xml"/>
  <Override PartName="/word/embeddings/chart4_data.xlsx" ContentType="application/vnd.openxmlformats-officedocument.spreadsheetml.shee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c="http://schemas.openxmlformats.org/drawingml/2006/chart" mc:Ignorable="w14 wp14">
  <w:body>
    <w:p>
      <w:pPr>
        <w:spacing w:before="0" w:after="240"/>
      </w:pPr>
    </w:p>
    <w:p>
      <w:pPr>
        <w:jc w:val="center"/>
      </w:pPr>
      <w:r>
        <w:drawing>
          <wp:inline xmlns:pic="http://schemas.openxmlformats.org/drawingml/2006/picture">
            <wp:extent cx="1508400" cy="986400"/>
            <wp:docPr id="1" name="Picture 1"/>
            <wp:cNvGraphicFramePr>
              <a:graphicFrameLocks noChangeAspect="1"/>
            </wp:cNvGraphicFramePr>
            <a:graphic>
              <a:graphicData uri="http://schemas.openxmlformats.org/drawingml/2006/picture">
                <pic:pic>
                  <pic:nvPicPr>
                    <pic:cNvPr id="0" name="fujairah-short-logo.png"/>
                    <pic:cNvPicPr/>
                  </pic:nvPicPr>
                  <pic:blipFill>
                    <a:blip r:embed="rId11"/>
                    <a:stretch>
                      <a:fillRect/>
                    </a:stretch>
                  </pic:blipFill>
                  <pic:spPr>
                    <a:xfrm>
                      <a:off x="0" y="0"/>
                      <a:ext cx="1508400" cy="986400"/>
                    </a:xfrm>
                    <a:prstGeom prst="rect"/>
                  </pic:spPr>
                </pic:pic>
              </a:graphicData>
            </a:graphic>
          </wp:inline>
        </w:drawing>
      </w:r>
    </w:p>
    <w:p>
      <w:pPr>
        <w:spacing w:before="160" w:after="160"/>
        <w:pBdr>
          <w:bottom w:val="single" w:sz="12" w:space="4" w:color="B68A35"/>
        </w:pBdr>
      </w:pPr>
    </w:p>
    <w:p>
      <w:pPr>
        <w:pStyle w:val="Heading1"/>
        <w:spacing w:before="240" w:after="240"/>
        <w:jc w:val="center"/>
      </w:pPr>
      <w:r>
        <w:rPr>
          <w:rFonts w:ascii="Calibri" w:hAnsi="Calibri" w:eastAsia="Calibri" w:cs="Calibri"/>
          <w:b/>
          <w:color w:val="B68A35"/>
          <w:sz w:val="32"/>
          <w:szCs w:val="32"/>
        </w:rPr>
        <w:t>تقرير تحليل استفسارات المتعاملين — يناير - ديسمبر 2025</w:t>
      </w:r>
      <w:bookmarkStart w:id="1" w:name="_Toc000000001"/>
      <w:bookmarkEnd w:id="1"/>
    </w:p>
    <w:p>
      <w:pPr>
        <w:spacing w:before="160" w:after="160"/>
        <w:pBdr>
          <w:bottom w:val="single" w:sz="12" w:space="4" w:color="B68A35"/>
        </w:pBdr>
      </w:pPr>
    </w:p>
    <w:p>
      <w:pPr>
        <w:spacing w:before="0" w:after="320"/>
      </w:pPr>
    </w:p>
    <w:p>
      <w:pPr>
        <w:spacing w:after="160"/>
        <w:jc w:val="center"/>
      </w:pPr>
      <w:r>
        <w:rPr>
          <w:rFonts w:ascii="Calibri" w:hAnsi="Calibri" w:eastAsia="Calibri" w:cs="Calibri"/>
          <w:b/>
          <w:i w:val="0"/>
          <w:color w:val="B68A35"/>
          <w:sz w:val="28"/>
          <w:szCs w:val="24"/>
          <w:u w:val="none"/>
        </w:rPr>
        <w:t>يناير - ديسمبر 2025</w:t>
      </w:r>
    </w:p>
    <w:p>
      <w:pPr>
        <w:spacing w:before="0" w:after="320"/>
      </w:pPr>
    </w:p>
    <w:p>
      <w:pPr>
        <w:spacing w:after="160"/>
        <w:jc w:val="center"/>
      </w:pPr>
      <w:r>
        <w:rPr>
          <w:rFonts w:ascii="Calibri" w:hAnsi="Calibri" w:eastAsia="Calibri" w:cs="Calibri"/>
          <w:b/>
          <w:i w:val="0"/>
          <w:color w:val="B68A35"/>
          <w:sz w:val="28"/>
          <w:szCs w:val="24"/>
          <w:u w:val="none"/>
        </w:rPr>
        <w:t>Total Cases: 1081</w:t>
      </w:r>
    </w:p>
    <w:p>
      <w:pPr>
        <w:spacing w:after="160"/>
        <w:jc w:val="center"/>
      </w:pPr>
      <w:r>
        <w:rPr>
          <w:rFonts w:ascii="Calibri" w:hAnsi="Calibri" w:eastAsia="Calibri" w:cs="Calibri"/>
          <w:b/>
          <w:i w:val="0"/>
          <w:color w:val="B68A35"/>
          <w:sz w:val="28"/>
          <w:szCs w:val="24"/>
          <w:u w:val="none"/>
        </w:rPr>
        <w:t>On-Time Closure Rate: 96.9%</w:t>
      </w:r>
    </w:p>
    <w:p>
      <w:pPr>
        <w:spacing w:before="0" w:after="640"/>
      </w:pPr>
    </w:p>
    <w:p>
      <w:pPr>
        <w:spacing w:after="0"/>
        <w:jc w:val="center"/>
      </w:pPr>
      <w:r>
        <w:rPr>
          <w:rFonts w:ascii="Calibri" w:hAnsi="Calibri" w:eastAsia="Calibri" w:cs="Calibri"/>
          <w:b w:val="0"/>
          <w:i w:val="0"/>
          <w:color w:val="606060"/>
          <w:sz w:val="24"/>
          <w:szCs w:val="24"/>
          <w:u w:val="none"/>
        </w:rPr>
        <w:t>Fujairah Police  |  2026-09-15  |  Integrated Business Intelligence Analysis</w:t>
      </w:r>
    </w:p>
    <w:p>
      <w:r>
        <w:br w:type="page"/>
      </w:r>
    </w:p>
    <w:sdt>
      <w:sdtPr>
        <w:docPartObj>
          <w:docPartGallery w:val="Table of Contents"/>
          <w:docPartUnique/>
        </w:docPartObj>
      </w:sdtPr>
      <w:sdtEndPr/>
      <w:sdtContent>
        <w:p>
          <w:pPr>
            <w:pStyle w:val="TOCHeading"/>
          </w:pPr>
          <w:r>
            <w:rPr>
              <w:rFonts w:ascii="Calibri" w:hAnsi="Calibri" w:cs="Calibri"/>
              <w:color w:val="FFFFFF"/>
            </w:rPr>
            <w:t>Table of Contents</w:t>
          </w:r>
        </w:p>
        <w:p>
          <w:pPr>
            <w:pStyle w:val="TOC1"/>
          </w:pPr>
          <w:r>
            <w:fldChar w:fldCharType="begin"/>
          </w:r>
          <w:r>
            <w:instrText xml:space="preserve"> TOC \o "1-3" \h \z \u </w:instrText>
          </w:r>
          <w:r>
            <w:fldChar w:fldCharType="separate"/>
          </w:r>
          <w:hyperlink w:anchor="_Toc000000002" w:history="1">
            <w:r>
              <w:rPr>
                <w:rStyle w:val="Hyperlink"/>
                <w:rFonts w:ascii="Calibri" w:hAnsi="Calibri" w:cs="Calibri"/>
                <w:noProof/>
              </w:rPr>
              <w:t>First: Executive Summary — Key Analyses</w:t>
            </w:r>
            <w:r>
              <w:rPr>
                <w:noProof/>
                <w:webHidden/>
              </w:rPr>
              <w:tab/>
            </w:r>
            <w:r>
              <w:fldChar w:fldCharType="begin"/>
            </w:r>
            <w:r>
              <w:instrText xml:space="preserve"> PAGEREF _Toc000000002 \h </w:instrText>
            </w:r>
            <w:r>
              <w:rPr>
                <w:noProof/>
                <w:webHidden/>
              </w:rPr>
              <w:fldChar w:fldCharType="separate"/>
            </w:r>
            <w:r>
              <w:rPr>
                <w:noProof/>
                <w:webHidden/>
              </w:rPr>
              <w:t>1</w:t>
            </w:r>
            <w:r>
              <w:rPr>
                <w:noProof/>
                <w:webHidden/>
              </w:rPr>
              <w:fldChar w:fldCharType="end"/>
            </w:r>
          </w:hyperlink>
        </w:p>
        <w:p>
          <w:pPr>
            <w:pStyle w:val="TOC2"/>
          </w:pPr>
          <w:hyperlink w:anchor="_Toc000000003" w:history="1">
            <w:r>
              <w:rPr>
                <w:rStyle w:val="Hyperlink"/>
                <w:rFonts w:ascii="Calibri" w:hAnsi="Calibri" w:cs="Calibri"/>
                <w:noProof/>
              </w:rPr>
              <w:t>Key Findings</w:t>
            </w:r>
            <w:r>
              <w:rPr>
                <w:noProof/>
                <w:webHidden/>
              </w:rPr>
              <w:tab/>
            </w:r>
            <w:r>
              <w:fldChar w:fldCharType="begin"/>
            </w:r>
            <w:r>
              <w:instrText xml:space="preserve"> PAGEREF _Toc000000003 \h </w:instrText>
            </w:r>
            <w:r>
              <w:rPr>
                <w:noProof/>
                <w:webHidden/>
              </w:rPr>
              <w:fldChar w:fldCharType="separate"/>
            </w:r>
            <w:r>
              <w:rPr>
                <w:noProof/>
                <w:webHidden/>
              </w:rPr>
              <w:t>1</w:t>
            </w:r>
            <w:r>
              <w:rPr>
                <w:noProof/>
                <w:webHidden/>
              </w:rPr>
              <w:fldChar w:fldCharType="end"/>
            </w:r>
          </w:hyperlink>
        </w:p>
        <w:p>
          <w:pPr>
            <w:pStyle w:val="TOC1"/>
          </w:pPr>
          <w:hyperlink w:anchor="_Toc000000004" w:history="1">
            <w:r>
              <w:rPr>
                <w:rStyle w:val="Hyperlink"/>
                <w:rFonts w:ascii="Calibri" w:hAnsi="Calibri" w:cs="Calibri"/>
                <w:noProof/>
              </w:rPr>
              <w:t>Second: Methodology and Nature of Sources</w:t>
            </w:r>
            <w:r>
              <w:rPr>
                <w:noProof/>
                <w:webHidden/>
              </w:rPr>
              <w:tab/>
            </w:r>
            <w:r>
              <w:fldChar w:fldCharType="begin"/>
            </w:r>
            <w:r>
              <w:instrText xml:space="preserve"> PAGEREF _Toc000000004 \h </w:instrText>
            </w:r>
            <w:r>
              <w:rPr>
                <w:noProof/>
                <w:webHidden/>
              </w:rPr>
              <w:fldChar w:fldCharType="separate"/>
            </w:r>
            <w:r>
              <w:rPr>
                <w:noProof/>
                <w:webHidden/>
              </w:rPr>
              <w:t>1</w:t>
            </w:r>
            <w:r>
              <w:rPr>
                <w:noProof/>
                <w:webHidden/>
              </w:rPr>
              <w:fldChar w:fldCharType="end"/>
            </w:r>
          </w:hyperlink>
        </w:p>
        <w:p>
          <w:pPr>
            <w:pStyle w:val="TOC2"/>
          </w:pPr>
          <w:hyperlink w:anchor="_Toc000000005" w:history="1">
            <w:r>
              <w:rPr>
                <w:rStyle w:val="Hyperlink"/>
                <w:rFonts w:ascii="Calibri" w:hAnsi="Calibri" w:cs="Calibri"/>
                <w:noProof/>
              </w:rPr>
              <w:t>2.1 Analysed Sources</w:t>
            </w:r>
            <w:r>
              <w:rPr>
                <w:noProof/>
                <w:webHidden/>
              </w:rPr>
              <w:tab/>
            </w:r>
            <w:r>
              <w:fldChar w:fldCharType="begin"/>
            </w:r>
            <w:r>
              <w:instrText xml:space="preserve"> PAGEREF _Toc000000005 \h </w:instrText>
            </w:r>
            <w:r>
              <w:rPr>
                <w:noProof/>
                <w:webHidden/>
              </w:rPr>
              <w:fldChar w:fldCharType="separate"/>
            </w:r>
            <w:r>
              <w:rPr>
                <w:noProof/>
                <w:webHidden/>
              </w:rPr>
              <w:t>1</w:t>
            </w:r>
            <w:r>
              <w:rPr>
                <w:noProof/>
                <w:webHidden/>
              </w:rPr>
              <w:fldChar w:fldCharType="end"/>
            </w:r>
          </w:hyperlink>
        </w:p>
        <w:p>
          <w:pPr>
            <w:pStyle w:val="TOC2"/>
          </w:pPr>
          <w:hyperlink w:anchor="_Toc000000006" w:history="1">
            <w:r>
              <w:rPr>
                <w:rStyle w:val="Hyperlink"/>
                <w:rFonts w:ascii="Calibri" w:hAnsi="Calibri" w:cs="Calibri"/>
                <w:noProof/>
              </w:rPr>
              <w:t>2.2 Classification Methodology</w:t>
            </w:r>
            <w:r>
              <w:rPr>
                <w:noProof/>
                <w:webHidden/>
              </w:rPr>
              <w:tab/>
            </w:r>
            <w:r>
              <w:fldChar w:fldCharType="begin"/>
            </w:r>
            <w:r>
              <w:instrText xml:space="preserve"> PAGEREF _Toc000000006 \h </w:instrText>
            </w:r>
            <w:r>
              <w:rPr>
                <w:noProof/>
                <w:webHidden/>
              </w:rPr>
              <w:fldChar w:fldCharType="separate"/>
            </w:r>
            <w:r>
              <w:rPr>
                <w:noProof/>
                <w:webHidden/>
              </w:rPr>
              <w:t>1</w:t>
            </w:r>
            <w:r>
              <w:rPr>
                <w:noProof/>
                <w:webHidden/>
              </w:rPr>
              <w:fldChar w:fldCharType="end"/>
            </w:r>
          </w:hyperlink>
        </w:p>
        <w:p>
          <w:pPr>
            <w:pStyle w:val="TOC2"/>
          </w:pPr>
          <w:hyperlink w:anchor="_Toc000000007" w:history="1">
            <w:r>
              <w:rPr>
                <w:rStyle w:val="Hyperlink"/>
                <w:rFonts w:ascii="Calibri" w:hAnsi="Calibri" w:cs="Calibri"/>
                <w:noProof/>
              </w:rPr>
              <w:t>2.3 Analysed Fields</w:t>
            </w:r>
            <w:r>
              <w:rPr>
                <w:noProof/>
                <w:webHidden/>
              </w:rPr>
              <w:tab/>
            </w:r>
            <w:r>
              <w:fldChar w:fldCharType="begin"/>
            </w:r>
            <w:r>
              <w:instrText xml:space="preserve"> PAGEREF _Toc000000007 \h </w:instrText>
            </w:r>
            <w:r>
              <w:rPr>
                <w:noProof/>
                <w:webHidden/>
              </w:rPr>
              <w:fldChar w:fldCharType="separate"/>
            </w:r>
            <w:r>
              <w:rPr>
                <w:noProof/>
                <w:webHidden/>
              </w:rPr>
              <w:t>1</w:t>
            </w:r>
            <w:r>
              <w:rPr>
                <w:noProof/>
                <w:webHidden/>
              </w:rPr>
              <w:fldChar w:fldCharType="end"/>
            </w:r>
          </w:hyperlink>
        </w:p>
        <w:p>
          <w:pPr>
            <w:pStyle w:val="TOC1"/>
          </w:pPr>
          <w:hyperlink w:anchor="_Toc000000008" w:history="1">
            <w:r>
              <w:rPr>
                <w:rStyle w:val="Hyperlink"/>
                <w:rFonts w:ascii="Calibri" w:hAnsi="Calibri" w:cs="Calibri"/>
                <w:noProof/>
              </w:rPr>
              <w:t>Third: First Analysis — Contact Classification Map</w:t>
            </w:r>
            <w:r>
              <w:rPr>
                <w:noProof/>
                <w:webHidden/>
              </w:rPr>
              <w:tab/>
            </w:r>
            <w:r>
              <w:fldChar w:fldCharType="begin"/>
            </w:r>
            <w:r>
              <w:instrText xml:space="preserve"> PAGEREF _Toc000000008 \h </w:instrText>
            </w:r>
            <w:r>
              <w:rPr>
                <w:noProof/>
                <w:webHidden/>
              </w:rPr>
              <w:fldChar w:fldCharType="separate"/>
            </w:r>
            <w:r>
              <w:rPr>
                <w:noProof/>
                <w:webHidden/>
              </w:rPr>
              <w:t>1</w:t>
            </w:r>
            <w:r>
              <w:rPr>
                <w:noProof/>
                <w:webHidden/>
              </w:rPr>
              <w:fldChar w:fldCharType="end"/>
            </w:r>
          </w:hyperlink>
        </w:p>
        <w:p>
          <w:pPr>
            <w:pStyle w:val="TOC2"/>
          </w:pPr>
          <w:hyperlink w:anchor="_Toc000000009" w:history="1">
            <w:r>
              <w:rPr>
                <w:rStyle w:val="Hyperlink"/>
                <w:rFonts w:ascii="Calibri" w:hAnsi="Calibri" w:cs="Calibri"/>
                <w:noProof/>
              </w:rPr>
              <w:t>3.1 Actual Distribution of Contact Types</w:t>
            </w:r>
            <w:r>
              <w:rPr>
                <w:noProof/>
                <w:webHidden/>
              </w:rPr>
              <w:tab/>
            </w:r>
            <w:r>
              <w:fldChar w:fldCharType="begin"/>
            </w:r>
            <w:r>
              <w:instrText xml:space="preserve"> PAGEREF _Toc000000009 \h </w:instrText>
            </w:r>
            <w:r>
              <w:rPr>
                <w:noProof/>
                <w:webHidden/>
              </w:rPr>
              <w:fldChar w:fldCharType="separate"/>
            </w:r>
            <w:r>
              <w:rPr>
                <w:noProof/>
                <w:webHidden/>
              </w:rPr>
              <w:t>1</w:t>
            </w:r>
            <w:r>
              <w:rPr>
                <w:noProof/>
                <w:webHidden/>
              </w:rPr>
              <w:fldChar w:fldCharType="end"/>
            </w:r>
          </w:hyperlink>
        </w:p>
        <w:p>
          <w:pPr>
            <w:pStyle w:val="TOC2"/>
          </w:pPr>
          <w:hyperlink w:anchor="_Toc000000010" w:history="1">
            <w:r>
              <w:rPr>
                <w:rStyle w:val="Hyperlink"/>
                <w:rFonts w:ascii="Calibri" w:hAnsi="Calibri" w:cs="Calibri"/>
                <w:noProof/>
              </w:rPr>
              <w:t>3.2 Classification Accuracy — 86.0% of cases were reclassified</w:t>
            </w:r>
            <w:r>
              <w:rPr>
                <w:noProof/>
                <w:webHidden/>
              </w:rPr>
              <w:tab/>
            </w:r>
            <w:r>
              <w:fldChar w:fldCharType="begin"/>
            </w:r>
            <w:r>
              <w:instrText xml:space="preserve"> PAGEREF _Toc000000010 \h </w:instrText>
            </w:r>
            <w:r>
              <w:rPr>
                <w:noProof/>
                <w:webHidden/>
              </w:rPr>
              <w:fldChar w:fldCharType="separate"/>
            </w:r>
            <w:r>
              <w:rPr>
                <w:noProof/>
                <w:webHidden/>
              </w:rPr>
              <w:t>1</w:t>
            </w:r>
            <w:r>
              <w:rPr>
                <w:noProof/>
                <w:webHidden/>
              </w:rPr>
              <w:fldChar w:fldCharType="end"/>
            </w:r>
          </w:hyperlink>
        </w:p>
        <w:p>
          <w:pPr>
            <w:pStyle w:val="TOC2"/>
          </w:pPr>
          <w:hyperlink w:anchor="_Toc000000011" w:history="1">
            <w:r>
              <w:rPr>
                <w:rStyle w:val="Hyperlink"/>
                <w:rFonts w:ascii="Calibri" w:hAnsi="Calibri" w:cs="Calibri"/>
                <w:noProof/>
              </w:rPr>
              <w:t>3.3 Complaints Breakdown (705 cases — 65.2%)</w:t>
            </w:r>
            <w:r>
              <w:rPr>
                <w:noProof/>
                <w:webHidden/>
              </w:rPr>
              <w:tab/>
            </w:r>
            <w:r>
              <w:fldChar w:fldCharType="begin"/>
            </w:r>
            <w:r>
              <w:instrText xml:space="preserve"> PAGEREF _Toc000000011 \h </w:instrText>
            </w:r>
            <w:r>
              <w:rPr>
                <w:noProof/>
                <w:webHidden/>
              </w:rPr>
              <w:fldChar w:fldCharType="separate"/>
            </w:r>
            <w:r>
              <w:rPr>
                <w:noProof/>
                <w:webHidden/>
              </w:rPr>
              <w:t>1</w:t>
            </w:r>
            <w:r>
              <w:rPr>
                <w:noProof/>
                <w:webHidden/>
              </w:rPr>
              <w:fldChar w:fldCharType="end"/>
            </w:r>
          </w:hyperlink>
        </w:p>
        <w:p>
          <w:pPr>
            <w:pStyle w:val="TOC2"/>
          </w:pPr>
          <w:hyperlink w:anchor="_Toc000000012" w:history="1">
            <w:r>
              <w:rPr>
                <w:rStyle w:val="Hyperlink"/>
                <w:rFonts w:ascii="Calibri" w:hAnsi="Calibri" w:cs="Calibri"/>
                <w:noProof/>
              </w:rPr>
              <w:t>3.4 Breakdown of Requests and Inquiries</w:t>
            </w:r>
            <w:r>
              <w:rPr>
                <w:noProof/>
                <w:webHidden/>
              </w:rPr>
              <w:tab/>
            </w:r>
            <w:r>
              <w:fldChar w:fldCharType="begin"/>
            </w:r>
            <w:r>
              <w:instrText xml:space="preserve"> PAGEREF _Toc000000012 \h </w:instrText>
            </w:r>
            <w:r>
              <w:rPr>
                <w:noProof/>
                <w:webHidden/>
              </w:rPr>
              <w:fldChar w:fldCharType="separate"/>
            </w:r>
            <w:r>
              <w:rPr>
                <w:noProof/>
                <w:webHidden/>
              </w:rPr>
              <w:t>1</w:t>
            </w:r>
            <w:r>
              <w:rPr>
                <w:noProof/>
                <w:webHidden/>
              </w:rPr>
              <w:fldChar w:fldCharType="end"/>
            </w:r>
          </w:hyperlink>
        </w:p>
        <w:p>
          <w:pPr>
            <w:pStyle w:val="TOC2"/>
          </w:pPr>
          <w:hyperlink w:anchor="_Toc000000013" w:history="1">
            <w:r>
              <w:rPr>
                <w:rStyle w:val="Hyperlink"/>
                <w:rFonts w:ascii="Calibri" w:hAnsi="Calibri" w:cs="Calibri"/>
                <w:noProof/>
              </w:rPr>
              <w:t>3.5 Main recurring inquiries (147 cases — 13.6%) — the category with the highest potential for conversion to fully digital self-service</w:t>
            </w:r>
            <w:r>
              <w:rPr>
                <w:noProof/>
                <w:webHidden/>
              </w:rPr>
              <w:tab/>
            </w:r>
            <w:r>
              <w:fldChar w:fldCharType="begin"/>
            </w:r>
            <w:r>
              <w:instrText xml:space="preserve"> PAGEREF _Toc000000013 \h </w:instrText>
            </w:r>
            <w:r>
              <w:rPr>
                <w:noProof/>
                <w:webHidden/>
              </w:rPr>
              <w:fldChar w:fldCharType="separate"/>
            </w:r>
            <w:r>
              <w:rPr>
                <w:noProof/>
                <w:webHidden/>
              </w:rPr>
              <w:t>1</w:t>
            </w:r>
            <w:r>
              <w:rPr>
                <w:noProof/>
                <w:webHidden/>
              </w:rPr>
              <w:fldChar w:fldCharType="end"/>
            </w:r>
          </w:hyperlink>
        </w:p>
        <w:p>
          <w:pPr>
            <w:pStyle w:val="TOC1"/>
          </w:pPr>
          <w:hyperlink w:anchor="_Toc000000014" w:history="1">
            <w:r>
              <w:rPr>
                <w:rStyle w:val="Hyperlink"/>
                <w:rFonts w:ascii="Calibri" w:hAnsi="Calibri" w:cs="Calibri"/>
                <w:noProof/>
              </w:rPr>
              <w:t>Fourth: Second Analysis — Challenges in the Customer Journey</w:t>
            </w:r>
            <w:r>
              <w:rPr>
                <w:noProof/>
                <w:webHidden/>
              </w:rPr>
              <w:tab/>
            </w:r>
            <w:r>
              <w:fldChar w:fldCharType="begin"/>
            </w:r>
            <w:r>
              <w:instrText xml:space="preserve"> PAGEREF _Toc000000014 \h </w:instrText>
            </w:r>
            <w:r>
              <w:rPr>
                <w:noProof/>
                <w:webHidden/>
              </w:rPr>
              <w:fldChar w:fldCharType="separate"/>
            </w:r>
            <w:r>
              <w:rPr>
                <w:noProof/>
                <w:webHidden/>
              </w:rPr>
              <w:t>1</w:t>
            </w:r>
            <w:r>
              <w:rPr>
                <w:noProof/>
                <w:webHidden/>
              </w:rPr>
              <w:fldChar w:fldCharType="end"/>
            </w:r>
          </w:hyperlink>
        </w:p>
        <w:p>
          <w:pPr>
            <w:pStyle w:val="TOC1"/>
          </w:pPr>
          <w:hyperlink w:anchor="_Toc000000015" w:history="1">
            <w:r>
              <w:rPr>
                <w:rStyle w:val="Hyperlink"/>
                <w:rFonts w:ascii="Calibri" w:hAnsi="Calibri" w:cs="Calibri"/>
                <w:noProof/>
              </w:rPr>
              <w:t>Fifth: Third Analysis — Digital Gaps Analysis</w:t>
            </w:r>
            <w:r>
              <w:rPr>
                <w:noProof/>
                <w:webHidden/>
              </w:rPr>
              <w:tab/>
            </w:r>
            <w:r>
              <w:fldChar w:fldCharType="begin"/>
            </w:r>
            <w:r>
              <w:instrText xml:space="preserve"> PAGEREF _Toc000000015 \h </w:instrText>
            </w:r>
            <w:r>
              <w:rPr>
                <w:noProof/>
                <w:webHidden/>
              </w:rPr>
              <w:fldChar w:fldCharType="separate"/>
            </w:r>
            <w:r>
              <w:rPr>
                <w:noProof/>
                <w:webHidden/>
              </w:rPr>
              <w:t>1</w:t>
            </w:r>
            <w:r>
              <w:rPr>
                <w:noProof/>
                <w:webHidden/>
              </w:rPr>
              <w:fldChar w:fldCharType="end"/>
            </w:r>
          </w:hyperlink>
        </w:p>
        <w:p>
          <w:pPr>
            <w:pStyle w:val="TOC2"/>
          </w:pPr>
          <w:hyperlink w:anchor="_Toc000000016" w:history="1">
            <w:r>
              <w:rPr>
                <w:rStyle w:val="Hyperlink"/>
                <w:rFonts w:ascii="Calibri" w:hAnsi="Calibri" w:cs="Calibri"/>
                <w:noProof/>
              </w:rPr>
              <w:t>5.1  Consolidated Gaps Table</w:t>
            </w:r>
            <w:r>
              <w:rPr>
                <w:noProof/>
                <w:webHidden/>
              </w:rPr>
              <w:tab/>
            </w:r>
            <w:r>
              <w:fldChar w:fldCharType="begin"/>
            </w:r>
            <w:r>
              <w:instrText xml:space="preserve"> PAGEREF _Toc000000016 \h </w:instrText>
            </w:r>
            <w:r>
              <w:rPr>
                <w:noProof/>
                <w:webHidden/>
              </w:rPr>
              <w:fldChar w:fldCharType="separate"/>
            </w:r>
            <w:r>
              <w:rPr>
                <w:noProof/>
                <w:webHidden/>
              </w:rPr>
              <w:t>1</w:t>
            </w:r>
            <w:r>
              <w:rPr>
                <w:noProof/>
                <w:webHidden/>
              </w:rPr>
              <w:fldChar w:fldCharType="end"/>
            </w:r>
          </w:hyperlink>
        </w:p>
        <w:p>
          <w:pPr>
            <w:pStyle w:val="TOC2"/>
          </w:pPr>
          <w:hyperlink w:anchor="_Toc000000017" w:history="1">
            <w:r>
              <w:rPr>
                <w:rStyle w:val="Hyperlink"/>
                <w:rFonts w:ascii="Calibri" w:hAnsi="Calibri" w:cs="Calibri"/>
                <w:noProof/>
              </w:rPr>
              <w:t>5.2  Root Causes of the Persistence of Issues</w:t>
            </w:r>
            <w:r>
              <w:rPr>
                <w:noProof/>
                <w:webHidden/>
              </w:rPr>
              <w:tab/>
            </w:r>
            <w:r>
              <w:fldChar w:fldCharType="begin"/>
            </w:r>
            <w:r>
              <w:instrText xml:space="preserve"> PAGEREF _Toc000000017 \h </w:instrText>
            </w:r>
            <w:r>
              <w:rPr>
                <w:noProof/>
                <w:webHidden/>
              </w:rPr>
              <w:fldChar w:fldCharType="separate"/>
            </w:r>
            <w:r>
              <w:rPr>
                <w:noProof/>
                <w:webHidden/>
              </w:rPr>
              <w:t>1</w:t>
            </w:r>
            <w:r>
              <w:rPr>
                <w:noProof/>
                <w:webHidden/>
              </w:rPr>
              <w:fldChar w:fldCharType="end"/>
            </w:r>
          </w:hyperlink>
        </w:p>
        <w:p>
          <w:pPr>
            <w:pStyle w:val="TOC1"/>
          </w:pPr>
          <w:hyperlink w:anchor="_Toc000000018" w:history="1">
            <w:r>
              <w:rPr>
                <w:rStyle w:val="Hyperlink"/>
                <w:rFonts w:ascii="Calibri" w:hAnsi="Calibri" w:cs="Calibri"/>
                <w:noProof/>
              </w:rPr>
              <w:t>Section Six: Fourth Analysis — Digital Transformation Plan</w:t>
            </w:r>
            <w:r>
              <w:rPr>
                <w:noProof/>
                <w:webHidden/>
              </w:rPr>
              <w:tab/>
            </w:r>
            <w:r>
              <w:fldChar w:fldCharType="begin"/>
            </w:r>
            <w:r>
              <w:instrText xml:space="preserve"> PAGEREF _Toc000000018 \h </w:instrText>
            </w:r>
            <w:r>
              <w:rPr>
                <w:noProof/>
                <w:webHidden/>
              </w:rPr>
              <w:fldChar w:fldCharType="separate"/>
            </w:r>
            <w:r>
              <w:rPr>
                <w:noProof/>
                <w:webHidden/>
              </w:rPr>
              <w:t>1</w:t>
            </w:r>
            <w:r>
              <w:rPr>
                <w:noProof/>
                <w:webHidden/>
              </w:rPr>
              <w:fldChar w:fldCharType="end"/>
            </w:r>
          </w:hyperlink>
        </w:p>
        <w:p>
          <w:pPr>
            <w:pStyle w:val="TOC2"/>
          </w:pPr>
          <w:hyperlink w:anchor="_Toc000000019" w:history="1">
            <w:r>
              <w:rPr>
                <w:rStyle w:val="Hyperlink"/>
                <w:rFonts w:ascii="Calibri" w:hAnsi="Calibri" w:cs="Calibri"/>
                <w:noProof/>
              </w:rPr>
              <w:t>6.1 Priority FAQs</w:t>
            </w:r>
            <w:r>
              <w:rPr>
                <w:noProof/>
                <w:webHidden/>
              </w:rPr>
              <w:tab/>
            </w:r>
            <w:r>
              <w:fldChar w:fldCharType="begin"/>
            </w:r>
            <w:r>
              <w:instrText xml:space="preserve"> PAGEREF _Toc000000019 \h </w:instrText>
            </w:r>
            <w:r>
              <w:rPr>
                <w:noProof/>
                <w:webHidden/>
              </w:rPr>
              <w:fldChar w:fldCharType="separate"/>
            </w:r>
            <w:r>
              <w:rPr>
                <w:noProof/>
                <w:webHidden/>
              </w:rPr>
              <w:t>1</w:t>
            </w:r>
            <w:r>
              <w:rPr>
                <w:noProof/>
                <w:webHidden/>
              </w:rPr>
              <w:fldChar w:fldCharType="end"/>
            </w:r>
          </w:hyperlink>
        </w:p>
        <w:p>
          <w:pPr>
            <w:pStyle w:val="TOC2"/>
          </w:pPr>
          <w:hyperlink w:anchor="_Toc000000020" w:history="1">
            <w:r>
              <w:rPr>
                <w:rStyle w:val="Hyperlink"/>
                <w:rFonts w:ascii="Calibri" w:hAnsi="Calibri" w:cs="Calibri"/>
                <w:noProof/>
              </w:rPr>
              <w:t>6.2 Pathway for Eliminating 30 Interactions via Proactive Notification</w:t>
            </w:r>
            <w:r>
              <w:rPr>
                <w:noProof/>
                <w:webHidden/>
              </w:rPr>
              <w:tab/>
            </w:r>
            <w:r>
              <w:fldChar w:fldCharType="begin"/>
            </w:r>
            <w:r>
              <w:instrText xml:space="preserve"> PAGEREF _Toc000000020 \h </w:instrText>
            </w:r>
            <w:r>
              <w:rPr>
                <w:noProof/>
                <w:webHidden/>
              </w:rPr>
              <w:fldChar w:fldCharType="separate"/>
            </w:r>
            <w:r>
              <w:rPr>
                <w:noProof/>
                <w:webHidden/>
              </w:rPr>
              <w:t>1</w:t>
            </w:r>
            <w:r>
              <w:rPr>
                <w:noProof/>
                <w:webHidden/>
              </w:rPr>
              <w:fldChar w:fldCharType="end"/>
            </w:r>
          </w:hyperlink>
        </w:p>
        <w:p>
          <w:pPr>
            <w:pStyle w:val="TOC1"/>
          </w:pPr>
          <w:hyperlink w:anchor="_Toc000000021" w:history="1">
            <w:r>
              <w:rPr>
                <w:rStyle w:val="Hyperlink"/>
                <w:rFonts w:ascii="Calibri" w:hAnsi="Calibri" w:cs="Calibri"/>
                <w:noProof/>
              </w:rPr>
              <w:t>Seventh: AI-Powered Use Cases</w:t>
            </w:r>
            <w:r>
              <w:rPr>
                <w:noProof/>
                <w:webHidden/>
              </w:rPr>
              <w:tab/>
            </w:r>
            <w:r>
              <w:fldChar w:fldCharType="begin"/>
            </w:r>
            <w:r>
              <w:instrText xml:space="preserve"> PAGEREF _Toc000000021 \h </w:instrText>
            </w:r>
            <w:r>
              <w:rPr>
                <w:noProof/>
                <w:webHidden/>
              </w:rPr>
              <w:fldChar w:fldCharType="separate"/>
            </w:r>
            <w:r>
              <w:rPr>
                <w:noProof/>
                <w:webHidden/>
              </w:rPr>
              <w:t>1</w:t>
            </w:r>
            <w:r>
              <w:rPr>
                <w:noProof/>
                <w:webHidden/>
              </w:rPr>
              <w:fldChar w:fldCharType="end"/>
            </w:r>
          </w:hyperlink>
        </w:p>
        <w:p>
          <w:pPr>
            <w:pStyle w:val="TOC1"/>
          </w:pPr>
          <w:hyperlink w:anchor="_Toc000000022" w:history="1">
            <w:r>
              <w:rPr>
                <w:rStyle w:val="Hyperlink"/>
                <w:rFonts w:ascii="Calibri" w:hAnsi="Calibri" w:cs="Calibri"/>
                <w:noProof/>
              </w:rPr>
              <w:t>Eighth: Proposed Improvement Roadmap</w:t>
            </w:r>
            <w:r>
              <w:rPr>
                <w:noProof/>
                <w:webHidden/>
              </w:rPr>
              <w:tab/>
            </w:r>
            <w:r>
              <w:fldChar w:fldCharType="begin"/>
            </w:r>
            <w:r>
              <w:instrText xml:space="preserve"> PAGEREF _Toc000000022 \h </w:instrText>
            </w:r>
            <w:r>
              <w:rPr>
                <w:noProof/>
                <w:webHidden/>
              </w:rPr>
              <w:fldChar w:fldCharType="separate"/>
            </w:r>
            <w:r>
              <w:rPr>
                <w:noProof/>
                <w:webHidden/>
              </w:rPr>
              <w:t>1</w:t>
            </w:r>
            <w:r>
              <w:rPr>
                <w:noProof/>
                <w:webHidden/>
              </w:rPr>
              <w:fldChar w:fldCharType="end"/>
            </w:r>
          </w:hyperlink>
        </w:p>
        <w:p>
          <w:pPr>
            <w:pStyle w:val="TOC1"/>
          </w:pPr>
          <w:hyperlink w:anchor="_Toc000000023" w:history="1">
            <w:r>
              <w:rPr>
                <w:rStyle w:val="Hyperlink"/>
                <w:rFonts w:ascii="Calibri" w:hAnsi="Calibri" w:cs="Calibri"/>
                <w:noProof/>
              </w:rPr>
              <w:t>Ninth: Conclusion — From Data to Decision</w:t>
            </w:r>
            <w:r>
              <w:rPr>
                <w:noProof/>
                <w:webHidden/>
              </w:rPr>
              <w:tab/>
            </w:r>
            <w:r>
              <w:fldChar w:fldCharType="begin"/>
            </w:r>
            <w:r>
              <w:instrText xml:space="preserve"> PAGEREF _Toc000000023 \h </w:instrText>
            </w:r>
            <w:r>
              <w:rPr>
                <w:noProof/>
                <w:webHidden/>
              </w:rPr>
              <w:fldChar w:fldCharType="separate"/>
            </w:r>
            <w:r>
              <w:rPr>
                <w:noProof/>
                <w:webHidden/>
              </w:rPr>
              <w:t>1</w:t>
            </w:r>
            <w:r>
              <w:rPr>
                <w:noProof/>
                <w:webHidden/>
              </w:rPr>
              <w:fldChar w:fldCharType="end"/>
            </w:r>
          </w:hyperlink>
        </w:p>
        <w:p>
          <w:pPr>
            <w:pStyle w:val="TOC2"/>
          </w:pPr>
          <w:hyperlink w:anchor="_Toc000000024" w:history="1">
            <w:r>
              <w:rPr>
                <w:rStyle w:val="Hyperlink"/>
                <w:rFonts w:ascii="Calibri" w:hAnsi="Calibri" w:cs="Calibri"/>
                <w:noProof/>
              </w:rPr>
              <w:t>The Three Transformation Pillars</w:t>
            </w:r>
            <w:r>
              <w:rPr>
                <w:noProof/>
                <w:webHidden/>
              </w:rPr>
              <w:tab/>
            </w:r>
            <w:r>
              <w:fldChar w:fldCharType="begin"/>
            </w:r>
            <w:r>
              <w:instrText xml:space="preserve"> PAGEREF _Toc000000024 \h </w:instrText>
            </w:r>
            <w:r>
              <w:rPr>
                <w:noProof/>
                <w:webHidden/>
              </w:rPr>
              <w:fldChar w:fldCharType="separate"/>
            </w:r>
            <w:r>
              <w:rPr>
                <w:noProof/>
                <w:webHidden/>
              </w:rPr>
              <w:t>1</w:t>
            </w:r>
            <w:r>
              <w:rPr>
                <w:noProof/>
                <w:webHidden/>
              </w:rPr>
              <w:fldChar w:fldCharType="end"/>
            </w:r>
          </w:hyperlink>
        </w:p>
        <w:p>
          <w:pPr>
            <w:pStyle w:val="TOC2"/>
          </w:pPr>
          <w:hyperlink w:anchor="_Toc000000025" w:history="1">
            <w:r>
              <w:rPr>
                <w:rStyle w:val="Hyperlink"/>
                <w:rFonts w:ascii="Calibri" w:hAnsi="Calibri" w:cs="Calibri"/>
                <w:noProof/>
              </w:rPr>
              <w:t>Expected Aggregate Impact:</w:t>
            </w:r>
            <w:r>
              <w:rPr>
                <w:noProof/>
                <w:webHidden/>
              </w:rPr>
              <w:tab/>
            </w:r>
            <w:r>
              <w:fldChar w:fldCharType="begin"/>
            </w:r>
            <w:r>
              <w:instrText xml:space="preserve"> PAGEREF _Toc000000025 \h </w:instrText>
            </w:r>
            <w:r>
              <w:rPr>
                <w:noProof/>
                <w:webHidden/>
              </w:rPr>
              <w:fldChar w:fldCharType="separate"/>
            </w:r>
            <w:r>
              <w:rPr>
                <w:noProof/>
                <w:webHidden/>
              </w:rPr>
              <w:t>1</w:t>
            </w:r>
            <w:r>
              <w:rPr>
                <w:noProof/>
                <w:webHidden/>
              </w:rPr>
              <w:fldChar w:fldCharType="end"/>
            </w:r>
          </w:hyperlink>
          <w:r>
            <w:fldChar w:fldCharType="end"/>
          </w:r>
        </w:p>
      </w:sdtContent>
    </w:sdt>
    <w:p>
      <w:r>
        <w:br w:type="page"/>
      </w:r>
    </w:p>
    <w:p>
      <w:pPr>
        <w:pStyle w:val="Heading1"/>
        <w:jc w:val="left"/>
      </w:pPr>
      <w:r>
        <w:rPr>
          <w:rFonts w:ascii="Calibri" w:hAnsi="Calibri" w:eastAsia="Calibri" w:cs="Calibri"/>
          <w:b/>
          <w:color w:val="B68A35"/>
          <w:sz w:val="32"/>
          <w:szCs w:val="32"/>
        </w:rPr>
        <w:t>First: Executive Summary — Key Analyses</w:t>
      </w:r>
      <w:bookmarkStart w:id="2" w:name="_Toc000000002"/>
      <w:bookmarkEnd w:id="2"/>
    </w:p>
    <w:p>
      <w:pPr>
        <w:spacing w:after="120"/>
        <w:jc w:val="both"/>
      </w:pPr>
      <w:r>
        <w:rPr>
          <w:rFonts w:ascii="Calibri" w:hAnsi="Calibri" w:eastAsia="Calibri" w:cs="Calibri"/>
          <w:b w:val="0"/>
          <w:i w:val="0"/>
          <w:color w:val="000000"/>
          <w:sz w:val="24"/>
          <w:szCs w:val="24"/>
          <w:u w:val="none"/>
        </w:rPr>
        <w:t>This report provides a systematic analysis of 1081 inbound contact cases exported from the CRM system for the period from January to December 2025, and compares them with what is stated in the Service Catalogue and FAQs, in order to test the efficiency of the content and the clarity of procedures. The report aims to transform complaints and inquiry data into practical, actionable decisions by linking patterns in customer cases to identified gaps in the catalogue, rather than merely presenting numerical indicators. Key development: Reclassification showed that 65.2% of the total workload are actual complaints (705 cases), after discovering that 86.0% of cases had been incorrectly classified in the system.</w:t>
      </w:r>
    </w:p>
    <w:p>
      <w:pPr>
        <w:pStyle w:val="Heading2"/>
        <w:jc w:val="left"/>
      </w:pPr>
      <w:r>
        <w:rPr>
          <w:rFonts w:ascii="Calibri" w:hAnsi="Calibri" w:eastAsia="Calibri" w:cs="Calibri"/>
          <w:b/>
          <w:color w:val="B68A35"/>
          <w:sz w:val="26"/>
          <w:szCs w:val="26"/>
        </w:rPr>
        <w:t>Key Findings</w:t>
      </w:r>
      <w:bookmarkStart w:id="3" w:name="_Toc000000003"/>
      <w:bookmarkEnd w:id="3"/>
    </w:p>
    <w:p>
      <w:pPr>
        <w:spacing w:after="120"/>
        <w:jc w:val="both"/>
      </w:pPr>
      <w:r>
        <w:rPr>
          <w:rFonts w:ascii="Calibri" w:hAnsi="Calibri" w:eastAsia="Calibri" w:cs="Calibri"/>
          <w:b w:val="0"/>
          <w:i w:val="0"/>
          <w:color w:val="000000"/>
          <w:sz w:val="24"/>
          <w:szCs w:val="24"/>
          <w:u w:val="none"/>
        </w:rPr>
        <w:t>Core message: This analysis reveals a dual systemic defect consisting of inaccurate classification for 86.0% of cases along with 5 distinct friction points that generate the majority of complaints. Addressing this defect by improving classification and linking each friction point to clear content and procedures in the Service Catalogue and FAQs enables the redirection of 705 complaints, and the reduction of 155 cases related to ambiguous violations and 116 cases related to delayed delivery of licences and ownership cards, while leveraging the on-time closure rate of 96.9% as a driver for improving the experience, not merely speeding completion. Through these steps, data from 1081 cases over one year is transformed into an engine for an evidence-based, continuously measurable customer service strategy.</w:t>
      </w:r>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الاكتشاف</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الوصف</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مستوى الأهمية</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1</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Inaccurate classification at a rate of 86.0%</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930 out of 1081 cases were originally misclassified. This gap forms the basis of the operational challenges identified in this analysis.</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t>🔴 Critical</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2</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Complaints account for 65.2% of the workload</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705 out of 1081 cases were complaints after reclassification. The largest categories are: objection to a traffic violation (189 cases) and complaint about a suspected violation (155 cases). This concentration reflects the primary operational improvement focus.</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t>🔴 Critical</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3</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Single friction point: Vehicle photo in the violation notice shows a different vehicle or the customer was not in Fujairah (155 cases, 14.3%)</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This point affects 155 cases (14.3% of the total). Root cause: a technical malfunction in the platform</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t>🔴 Critical</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4</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Single friction point — missing information from the catalogue (116 cases)</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A single friction point shares a common root cause: delay in receiving the printed licence or ownership card and lack of clarity regarding delivery status. Total affected cases: 116. Improving this cluster will significantly contribute to reducing friction.</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t>🔴 Critical</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5</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96.9% on-time closure</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1048 out of 1081 cases were closed on time (a rate of 96.9%). This demonstrates operational capability, but does not address structural gaps in accuracy and understanding.</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 Positive</w:t>
            </w:r>
          </w:p>
        </w:tc>
      </w:tr>
    </w:tbl>
    <w:p/>
    <w:p>
      <w:pPr>
        <w:pStyle w:val="Heading1"/>
        <w:jc w:val="left"/>
      </w:pPr>
      <w:r>
        <w:rPr>
          <w:rFonts w:ascii="Calibri" w:hAnsi="Calibri" w:eastAsia="Calibri" w:cs="Calibri"/>
          <w:b/>
          <w:color w:val="B68A35"/>
          <w:sz w:val="32"/>
          <w:szCs w:val="32"/>
        </w:rPr>
        <w:t>Second: Methodology and Nature of Sources</w:t>
      </w:r>
      <w:bookmarkStart w:id="4" w:name="_Toc000000004"/>
      <w:bookmarkEnd w:id="4"/>
    </w:p>
    <w:p>
      <w:pPr>
        <w:pStyle w:val="Heading2"/>
        <w:jc w:val="left"/>
      </w:pPr>
      <w:r>
        <w:rPr>
          <w:rFonts w:ascii="Calibri" w:hAnsi="Calibri" w:eastAsia="Calibri" w:cs="Calibri"/>
          <w:b/>
          <w:color w:val="B68A35"/>
          <w:sz w:val="26"/>
          <w:szCs w:val="26"/>
        </w:rPr>
        <w:t>2.1 Analysed Sources</w:t>
      </w:r>
      <w:bookmarkStart w:id="5" w:name="_Toc000000005"/>
      <w:bookmarkEnd w:id="5"/>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Source</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Nature</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Volume</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Period</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r>
    </w:tbl>
    <w:p/>
    <w:p>
      <w:pPr>
        <w:pStyle w:val="Heading2"/>
        <w:jc w:val="left"/>
      </w:pPr>
      <w:r>
        <w:rPr>
          <w:rFonts w:ascii="Calibri" w:hAnsi="Calibri" w:eastAsia="Calibri" w:cs="Calibri"/>
          <w:b/>
          <w:color w:val="B68A35"/>
          <w:sz w:val="26"/>
          <w:szCs w:val="26"/>
        </w:rPr>
        <w:t>2.2 Classification Methodology</w:t>
      </w:r>
      <w:bookmarkStart w:id="6" w:name="_Toc000000006"/>
      <w:bookmarkEnd w:id="6"/>
    </w:p>
    <w:p>
      <w:pPr>
        <w:spacing w:after="120"/>
        <w:jc w:val="both"/>
      </w:pPr>
      <w:r>
        <w:rPr>
          <w:rFonts w:ascii="Calibri" w:hAnsi="Calibri" w:eastAsia="Calibri" w:cs="Calibri"/>
          <w:b w:val="0"/>
          <w:i w:val="0"/>
          <w:color w:val="000000"/>
          <w:sz w:val="24"/>
          <w:szCs w:val="24"/>
          <w:u w:val="none"/>
        </w:rPr>
        <w:t>The analysis is based on a four-level decision tree, where the determining criterion is the nature of what is requested, not the wording. Two consecutive tests are applied to each case:</w:t>
      </w:r>
    </w:p>
    <w:p>
      <w:pPr>
        <w:spacing w:after="120"/>
        <w:jc w:val="both"/>
      </w:pPr>
      <w:r>
        <w:rPr>
          <w:rFonts w:ascii="Calibri" w:hAnsi="Calibri" w:eastAsia="Calibri" w:cs="Calibri"/>
          <w:b w:val="0"/>
          <w:i w:val="0"/>
          <w:color w:val="000000"/>
          <w:sz w:val="24"/>
          <w:szCs w:val="24"/>
          <w:u w:val="none"/>
        </w:rPr>
        <w:t>(1) First test: Does the text express dissatisfaction, report a failure, or express a desire to file an official complaint or objection?</w:t>
      </w:r>
    </w:p>
    <w:p>
      <w:pPr>
        <w:spacing w:after="120"/>
        <w:jc w:val="both"/>
      </w:pPr>
      <w:r>
        <w:rPr>
          <w:rFonts w:ascii="Calibri" w:hAnsi="Calibri" w:eastAsia="Calibri" w:cs="Calibri"/>
          <w:b w:val="0"/>
          <w:i w:val="0"/>
          <w:color w:val="000000"/>
          <w:sz w:val="24"/>
          <w:szCs w:val="24"/>
          <w:u w:val="none"/>
        </w:rPr>
        <w:t>(2) Second test: Does the text request the execution of a specific action such as providing a service, following up on an application, or amending data, and not merely obtaining information?</w:t>
      </w:r>
    </w:p>
    <w:p>
      <w:pPr>
        <w:spacing w:after="120"/>
        <w:jc w:val="both"/>
      </w:pPr>
      <w:r>
        <w:rPr>
          <w:rFonts w:ascii="Calibri" w:hAnsi="Calibri" w:eastAsia="Calibri" w:cs="Calibri"/>
          <w:b w:val="0"/>
          <w:i w:val="0"/>
          <w:color w:val="000000"/>
          <w:sz w:val="24"/>
          <w:szCs w:val="24"/>
          <w:u w:val="none"/>
        </w:rPr>
        <w:t>Classification rules:</w:t>
      </w:r>
    </w:p>
    <w:p>
      <w:pPr>
        <w:spacing w:after="120"/>
        <w:jc w:val="both"/>
      </w:pPr>
      <w:r>
        <w:rPr>
          <w:rFonts w:ascii="Calibri" w:hAnsi="Calibri" w:eastAsia="Calibri" w:cs="Calibri"/>
          <w:b w:val="0"/>
          <w:i w:val="0"/>
          <w:color w:val="000000"/>
          <w:sz w:val="24"/>
          <w:szCs w:val="24"/>
          <w:u w:val="none"/>
        </w:rPr>
        <w:t>→ If the answer is yes to the first: Complaint (even if the text includes a request to take action);</w:t>
      </w:r>
    </w:p>
    <w:p>
      <w:pPr>
        <w:spacing w:after="120"/>
        <w:jc w:val="both"/>
      </w:pPr>
      <w:r>
        <w:rPr>
          <w:rFonts w:ascii="Calibri" w:hAnsi="Calibri" w:eastAsia="Calibri" w:cs="Calibri"/>
          <w:b w:val="0"/>
          <w:i w:val="0"/>
          <w:color w:val="000000"/>
          <w:sz w:val="24"/>
          <w:szCs w:val="24"/>
          <w:u w:val="none"/>
        </w:rPr>
        <w:t>→ If the answer is yes to the second only: Request (without the purpose being to report a problem);</w:t>
      </w:r>
    </w:p>
    <w:p>
      <w:pPr>
        <w:spacing w:after="120"/>
        <w:jc w:val="both"/>
      </w:pPr>
      <w:r>
        <w:rPr>
          <w:rFonts w:ascii="Calibri" w:hAnsi="Calibri" w:eastAsia="Calibri" w:cs="Calibri"/>
          <w:b w:val="0"/>
          <w:i w:val="0"/>
          <w:color w:val="000000"/>
          <w:sz w:val="24"/>
          <w:szCs w:val="24"/>
          <w:u w:val="none"/>
        </w:rPr>
        <w:t>→ If the purpose is a question or inquiry about information: Inquiry;</w:t>
      </w:r>
    </w:p>
    <w:p>
      <w:pPr>
        <w:spacing w:after="120"/>
        <w:jc w:val="both"/>
      </w:pPr>
      <w:r>
        <w:rPr>
          <w:rFonts w:ascii="Calibri" w:hAnsi="Calibri" w:eastAsia="Calibri" w:cs="Calibri"/>
          <w:b w:val="0"/>
          <w:i w:val="0"/>
          <w:color w:val="000000"/>
          <w:sz w:val="24"/>
          <w:szCs w:val="24"/>
          <w:u w:val="none"/>
        </w:rPr>
        <w:t>→ If it expresses satisfaction and commendation: Appreciation and praise.</w:t>
      </w:r>
    </w:p>
    <w:p>
      <w:pPr>
        <w:pStyle w:val="Heading2"/>
        <w:jc w:val="left"/>
      </w:pPr>
      <w:r>
        <w:rPr>
          <w:rFonts w:ascii="Calibri" w:hAnsi="Calibri" w:eastAsia="Calibri" w:cs="Calibri"/>
          <w:b/>
          <w:color w:val="B68A35"/>
          <w:sz w:val="26"/>
          <w:szCs w:val="26"/>
        </w:rPr>
        <w:t>2.3 Analysed Fields</w:t>
      </w:r>
      <w:bookmarkStart w:id="7" w:name="_Toc000000007"/>
      <w:bookmarkEnd w:id="7"/>
    </w:p>
    <w:p>
      <w:pPr>
        <w:spacing w:after="120"/>
        <w:jc w:val="both"/>
      </w:pPr>
      <w:r>
        <w:rPr>
          <w:rFonts w:ascii="Calibri" w:hAnsi="Calibri" w:eastAsia="Calibri" w:cs="Calibri"/>
          <w:b w:val="0"/>
          <w:i w:val="0"/>
          <w:color w:val="000000"/>
          <w:sz w:val="24"/>
          <w:szCs w:val="24"/>
          <w:u w:val="none"/>
        </w:rPr>
        <w:t>The structured fields used in the analysis are: request number, main service, original call type, request status, communication channel, and competent department. The unstructured fields — the focus of this analysis — are: request details and response to the request. These two fields reveal the true nature of each case, away from the formal classification in the system.</w:t>
      </w:r>
    </w:p>
    <w:p>
      <w:pPr>
        <w:pStyle w:val="Heading1"/>
        <w:jc w:val="left"/>
      </w:pPr>
      <w:r>
        <w:rPr>
          <w:rFonts w:ascii="Calibri" w:hAnsi="Calibri" w:eastAsia="Calibri" w:cs="Calibri"/>
          <w:b/>
          <w:color w:val="B68A35"/>
          <w:sz w:val="32"/>
          <w:szCs w:val="32"/>
        </w:rPr>
        <w:t>Third: First Analysis — Contact Classification Map</w:t>
      </w:r>
      <w:bookmarkStart w:id="8" w:name="_Toc000000008"/>
      <w:bookmarkEnd w:id="8"/>
    </w:p>
    <w:p>
      <w:pPr>
        <w:pStyle w:val="Heading2"/>
        <w:jc w:val="left"/>
      </w:pPr>
      <w:r>
        <w:rPr>
          <w:rFonts w:ascii="Calibri" w:hAnsi="Calibri" w:eastAsia="Calibri" w:cs="Calibri"/>
          <w:b/>
          <w:color w:val="B68A35"/>
          <w:sz w:val="26"/>
          <w:szCs w:val="26"/>
        </w:rPr>
        <w:t>3.1 Actual Distribution of Contact Types</w:t>
      </w:r>
      <w:bookmarkStart w:id="9" w:name="_Toc000000009"/>
      <w:bookmarkEnd w:id="9"/>
    </w:p>
    <w:p>
      <w:pPr>
        <w:spacing w:after="120"/>
        <w:jc w:val="both"/>
      </w:pPr>
      <w:r>
        <w:rPr>
          <w:rFonts w:ascii="Calibri" w:hAnsi="Calibri" w:eastAsia="Calibri" w:cs="Calibri"/>
          <w:b w:val="0"/>
          <w:i w:val="0"/>
          <w:color w:val="000000"/>
          <w:sz w:val="24"/>
          <w:szCs w:val="24"/>
          <w:u w:val="none"/>
        </w:rPr>
        <w:t>Analysis of 1081 cases from January to December 2025 showed that accurately reclassifying the content of requests reveals a radically different picture of the workload than what appears in the CRM system. Breaking down the nature of each contact shows that a large portion of the actual workload is focused on handling reports that are in practice classified as complaints and requests rather than general inquiries. The fundamental shift: the “Complaint” category now tops the list with 705 cases (65.2%), compared with the previous dominance of the “Inquiry” category with 1067 cases before correction.</w:t>
      </w:r>
    </w:p>
    <w:tbl>
      <w:tblPr>
        <w:tblStyle w:val="TableGrid"/>
        <w:tblW w:type="auto" w:w="0"/>
        <w:tblLook w:firstColumn="1" w:firstRow="1" w:lastColumn="0" w:lastRow="0" w:noHBand="0" w:noVBand="1" w:val="04A0"/>
        <w:tblLayout w:type="fixed"/>
      </w:tblPr>
      <w:tblGrid>
        <w:gridCol w:w="1872"/>
        <w:gridCol w:w="1872"/>
        <w:gridCol w:w="1872"/>
        <w:gridCol w:w="1872"/>
        <w:gridCol w:w="1872"/>
      </w:tblGrid>
      <w:tr>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Contact type</w:t>
            </w:r>
          </w:p>
        </w:tc>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Count</w:t>
            </w:r>
          </w:p>
        </w:tc>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Percentage</w:t>
            </w:r>
          </w:p>
        </w:tc>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Classification change</w:t>
            </w:r>
          </w:p>
        </w:tc>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Digital conversion potential</w:t>
            </w:r>
          </w:p>
        </w:tc>
      </w:tr>
      <w:tr>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872"/>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872"/>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872"/>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r>
    </w:tbl>
    <w:p/>
    <w:p>
      <w:pPr>
        <w:jc w:val="center"/>
      </w:pPr>
      <w:r>
        <w:drawing>
          <wp:inline distT="0" distB="0" distL="0" distR="0">
            <wp:extent cx="5040000" cy="3240000"/>
            <wp:effectExtent l="0" t="0" r="0" b="0"/>
            <wp:docPr id="102" name="Chart 1" descr="Chart 1"/>
            <wp:cNvGraphicFramePr>
              <a:graphicFrameLocks noChangeAspect="1"/>
            </wp:cNvGraphicFramePr>
            <a:graphic>
              <a:graphicData uri="http://schemas.openxmlformats.org/drawingml/2006/chart">
                <c:chart r:id="rId12"/>
              </a:graphicData>
            </a:graphic>
          </wp:inline>
        </w:drawing>
      </w:r>
    </w:p>
    <w:p/>
    <w:p>
      <w:pPr>
        <w:jc w:val="center"/>
      </w:pPr>
      <w:r>
        <w:drawing>
          <wp:inline distT="0" distB="0" distL="0" distR="0">
            <wp:extent cx="5040000" cy="3240000"/>
            <wp:effectExtent l="0" t="0" r="0" b="0"/>
            <wp:docPr id="103" name="Chart 2" descr="Chart 2"/>
            <wp:cNvGraphicFramePr>
              <a:graphicFrameLocks noChangeAspect="1"/>
            </wp:cNvGraphicFramePr>
            <a:graphic>
              <a:graphicData uri="http://schemas.openxmlformats.org/drawingml/2006/chart">
                <c:chart r:id="rId13"/>
              </a:graphicData>
            </a:graphic>
          </wp:inline>
        </w:drawing>
      </w:r>
    </w:p>
    <w:p/>
    <w:p>
      <w:pPr>
        <w:jc w:val="center"/>
      </w:pPr>
      <w:r>
        <w:drawing>
          <wp:inline distT="0" distB="0" distL="0" distR="0">
            <wp:extent cx="5040000" cy="3240000"/>
            <wp:effectExtent l="0" t="0" r="0" b="0"/>
            <wp:docPr id="104" name="Chart 3" descr="Chart 3"/>
            <wp:cNvGraphicFramePr>
              <a:graphicFrameLocks noChangeAspect="1"/>
            </wp:cNvGraphicFramePr>
            <a:graphic>
              <a:graphicData uri="http://schemas.openxmlformats.org/drawingml/2006/chart">
                <c:chart r:id="rId14"/>
              </a:graphicData>
            </a:graphic>
          </wp:inline>
        </w:drawing>
      </w:r>
    </w:p>
    <w:p/>
    <w:p>
      <w:pPr>
        <w:jc w:val="center"/>
      </w:pPr>
      <w:r>
        <w:drawing>
          <wp:inline distT="0" distB="0" distL="0" distR="0">
            <wp:extent cx="5040000" cy="3240000"/>
            <wp:effectExtent l="0" t="0" r="0" b="0"/>
            <wp:docPr id="105" name="Chart 4" descr="Chart 4"/>
            <wp:cNvGraphicFramePr>
              <a:graphicFrameLocks noChangeAspect="1"/>
            </wp:cNvGraphicFramePr>
            <a:graphic>
              <a:graphicData uri="http://schemas.openxmlformats.org/drawingml/2006/chart">
                <c:chart r:id="rId15"/>
              </a:graphicData>
            </a:graphic>
          </wp:inline>
        </w:drawing>
      </w:r>
    </w:p>
    <w:p/>
    <w:p>
      <w:pPr>
        <w:pStyle w:val="Heading2"/>
        <w:jc w:val="left"/>
      </w:pPr>
      <w:r>
        <w:rPr>
          <w:rFonts w:ascii="Calibri" w:hAnsi="Calibri" w:eastAsia="Calibri" w:cs="Calibri"/>
          <w:b/>
          <w:color w:val="B68A35"/>
          <w:sz w:val="26"/>
          <w:szCs w:val="26"/>
        </w:rPr>
        <w:t>3.2 Classification Accuracy — 86.0% of cases were reclassified</w:t>
      </w:r>
      <w:bookmarkStart w:id="10" w:name="_Toc000000010"/>
      <w:bookmarkEnd w:id="10"/>
    </w:p>
    <w:p>
      <w:pPr>
        <w:spacing w:after="120"/>
        <w:jc w:val="both"/>
      </w:pPr>
      <w:r>
        <w:rPr>
          <w:rFonts w:ascii="Calibri" w:hAnsi="Calibri" w:eastAsia="Calibri" w:cs="Calibri"/>
          <w:b w:val="0"/>
          <w:i w:val="0"/>
          <w:color w:val="000000"/>
          <w:sz w:val="24"/>
          <w:szCs w:val="24"/>
          <w:u w:val="none"/>
        </w:rPr>
        <w:t>The critical finding: It was found that 1067 out of 1081 cases were registered in the CRM system under the “Inquiry” category, regardless of the actual content of the request. Following detailed review, 930 cases, i.e. 86.0%, were reclassified into the categories of “Complaint”, “Request” and “Inquiry” in line with the true nature of the workload. This does not indicate a human data-entry error; rather, it reflects that the classification field in the system is linked more to the reception channel or the customer’s stated intent than to the nature of processing required. The full list of 930 cases with evidence is available in the digital annex (attached Excel file).</w:t>
      </w:r>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Request number</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Registered as</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Correct classification</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Evidence from request details</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r>
    </w:tbl>
    <w:p/>
    <w:p>
      <w:pPr>
        <w:pStyle w:val="Heading2"/>
        <w:jc w:val="left"/>
      </w:pPr>
      <w:r>
        <w:rPr>
          <w:rFonts w:ascii="Calibri" w:hAnsi="Calibri" w:eastAsia="Calibri" w:cs="Calibri"/>
          <w:b/>
          <w:color w:val="B68A35"/>
          <w:sz w:val="26"/>
          <w:szCs w:val="26"/>
        </w:rPr>
        <w:t>3.3 Complaints Breakdown (705 cases — 65.2%)</w:t>
      </w:r>
      <w:bookmarkStart w:id="11" w:name="_Toc000000011"/>
      <w:bookmarkEnd w:id="11"/>
    </w:p>
    <w:p>
      <w:pPr>
        <w:spacing w:after="120"/>
        <w:jc w:val="both"/>
      </w:pPr>
      <w:r>
        <w:rPr>
          <w:rFonts w:ascii="Calibri" w:hAnsi="Calibri" w:eastAsia="Calibri" w:cs="Calibri"/>
          <w:b w:val="0"/>
          <w:i w:val="0"/>
          <w:color w:val="000000"/>
          <w:sz w:val="24"/>
          <w:szCs w:val="24"/>
          <w:u w:val="none"/>
        </w:rPr>
        <w:t>Reclassification shows that complaints were the dominant category concealed within the inquiries file, with a clear concentration around traffic violations, licensing, and related services. A recurring pattern appears of customers contacting the police after receiving a violation, disruption of an essential service, or delay in a transaction, as follows:</w:t>
      </w:r>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Sub-category</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Count</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Percentage of complaints</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Description</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r>
    </w:tbl>
    <w:p/>
    <w:p>
      <w:pPr>
        <w:pStyle w:val="Heading2"/>
        <w:jc w:val="left"/>
      </w:pPr>
      <w:r>
        <w:rPr>
          <w:rFonts w:ascii="Calibri" w:hAnsi="Calibri" w:eastAsia="Calibri" w:cs="Calibri"/>
          <w:b/>
          <w:color w:val="B68A35"/>
          <w:sz w:val="26"/>
          <w:szCs w:val="26"/>
        </w:rPr>
        <w:t>3.4 Breakdown of Requests and Inquiries</w:t>
      </w:r>
      <w:bookmarkStart w:id="12" w:name="_Toc000000012"/>
      <w:bookmarkEnd w:id="12"/>
    </w:p>
    <w:p>
      <w:pPr>
        <w:spacing w:after="120"/>
        <w:jc w:val="both"/>
      </w:pPr>
      <w:r>
        <w:rPr>
          <w:rFonts w:ascii="Calibri" w:hAnsi="Calibri" w:eastAsia="Calibri" w:cs="Calibri"/>
          <w:b w:val="0"/>
          <w:i w:val="0"/>
          <w:color w:val="000000"/>
          <w:sz w:val="24"/>
          <w:szCs w:val="24"/>
          <w:u w:val="none"/>
        </w:rPr>
        <w:t>Most prominent submitted requests (219 cases — 20.3%):</w:t>
      </w:r>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Sub-category</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Count</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Percentage</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Description</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r>
    </w:tbl>
    <w:p/>
    <w:p>
      <w:pPr>
        <w:pStyle w:val="Heading2"/>
        <w:jc w:val="left"/>
      </w:pPr>
      <w:r>
        <w:rPr>
          <w:rFonts w:ascii="Calibri" w:hAnsi="Calibri" w:eastAsia="Calibri" w:cs="Calibri"/>
          <w:b/>
          <w:color w:val="B68A35"/>
          <w:sz w:val="26"/>
          <w:szCs w:val="26"/>
        </w:rPr>
        <w:t>3.5 Main recurring inquiries (147 cases — 13.6%) — the category with the highest potential for conversion to fully digital self-service</w:t>
      </w:r>
      <w:bookmarkStart w:id="13" w:name="_Toc000000013"/>
      <w:bookmarkEnd w:id="13"/>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Sub-category</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Count</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Percentage</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Description</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r>
    </w:tbl>
    <w:p/>
    <w:p>
      <w:pPr>
        <w:pStyle w:val="Heading1"/>
        <w:jc w:val="left"/>
      </w:pPr>
      <w:r>
        <w:rPr>
          <w:rFonts w:ascii="Calibri" w:hAnsi="Calibri" w:eastAsia="Calibri" w:cs="Calibri"/>
          <w:b/>
          <w:color w:val="B68A35"/>
          <w:sz w:val="32"/>
          <w:szCs w:val="32"/>
        </w:rPr>
        <w:t>Fourth: Second Analysis — Challenges in the Customer Journey</w:t>
      </w:r>
      <w:bookmarkStart w:id="14" w:name="_Toc000000014"/>
      <w:bookmarkEnd w:id="14"/>
    </w:p>
    <w:p>
      <w:pPr>
        <w:spacing w:after="120"/>
        <w:jc w:val="both"/>
      </w:pPr>
      <w:r>
        <w:rPr>
          <w:rFonts w:ascii="Calibri" w:hAnsi="Calibri" w:eastAsia="Calibri" w:cs="Calibri"/>
          <w:b w:val="0"/>
          <w:i w:val="0"/>
          <w:color w:val="000000"/>
          <w:sz w:val="24"/>
          <w:szCs w:val="24"/>
          <w:u w:val="none"/>
        </w:rPr>
        <w:t>The in-depth analysis of unstructured textual data reveals 5 main friction points in the customer journey, each resulting from a specific, addressable root cause. The results show that the most critical point is when the vehicle image in the violation notification shows a different vehicle or the customer was not in Fujairah, which affects 155 cases (14.3% of the total). The delay or failure to receive printed licences and registrations also emerged as a quick-win improvement opportunity through implementing a proactive notification via SMS or email:</w:t>
      </w:r>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Friction Point</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Cases</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Root Cause</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Improvement Action</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r>
    </w:tbl>
    <w:p/>
    <w:p>
      <w:pPr>
        <w:pStyle w:val="Heading1"/>
        <w:jc w:val="left"/>
      </w:pPr>
      <w:r>
        <w:rPr>
          <w:rFonts w:ascii="Calibri" w:hAnsi="Calibri" w:eastAsia="Calibri" w:cs="Calibri"/>
          <w:b/>
          <w:color w:val="B68A35"/>
          <w:sz w:val="32"/>
          <w:szCs w:val="32"/>
        </w:rPr>
        <w:t>Fifth: Third Analysis — Digital Gaps Analysis</w:t>
      </w:r>
      <w:bookmarkStart w:id="15" w:name="_Toc000000015"/>
      <w:bookmarkEnd w:id="15"/>
    </w:p>
    <w:p>
      <w:pPr>
        <w:spacing w:after="120"/>
        <w:jc w:val="both"/>
      </w:pPr>
      <w:r>
        <w:rPr>
          <w:rFonts w:ascii="Calibri" w:hAnsi="Calibri" w:eastAsia="Calibri" w:cs="Calibri"/>
          <w:b w:val="0"/>
          <w:i w:val="0"/>
          <w:color w:val="000000"/>
          <w:sz w:val="24"/>
          <w:szCs w:val="24"/>
          <w:u w:val="none"/>
        </w:rPr>
        <w:t>Why do problems persist despite the availability of the application and the website? Data for the period January - December 2025 shows that 96.4% of a total of 1081 cases were received through digital channels, yet functional gaps continue to appear within these channels themselves, where the deficiency is not due to the absence of a digital channel but rather the absence of correct paths and procedures within it. The gap analysis reveals four critical gaps and one high-level gap, topped by topics such as “traffic violations issued against a different vehicle or while the customer was not in Fujairah” with 155 cases, in addition to 406 cumulative cases across various types of root causes in the table (technical error + weak proactive notification + policy complexity + others). Furthermore, 308 cases (28.5%) can be converted to self-resolving interactions via proactive SMS/email notifications without any change to the current infrastructure.</w:t>
      </w:r>
    </w:p>
    <w:p>
      <w:pPr>
        <w:pStyle w:val="Heading2"/>
        <w:jc w:val="left"/>
      </w:pPr>
      <w:r>
        <w:rPr>
          <w:rFonts w:ascii="Calibri" w:hAnsi="Calibri" w:eastAsia="Calibri" w:cs="Calibri"/>
          <w:b/>
          <w:color w:val="B68A35"/>
          <w:sz w:val="26"/>
          <w:szCs w:val="26"/>
        </w:rPr>
        <w:t>5.1  Consolidated Gaps Table</w:t>
      </w:r>
      <w:bookmarkStart w:id="16" w:name="_Toc000000016"/>
      <w:bookmarkEnd w:id="16"/>
    </w:p>
    <w:tbl>
      <w:tblPr>
        <w:tblStyle w:val="TableGrid"/>
        <w:tblW w:type="auto" w:w="0"/>
        <w:tblLook w:firstColumn="1" w:firstRow="1" w:lastColumn="0" w:lastRow="0" w:noHBand="0" w:noVBand="1" w:val="04A0"/>
        <w:tblLayout w:type="fixed"/>
      </w:tblPr>
      <w:tblGrid>
        <w:gridCol w:w="1560"/>
        <w:gridCol w:w="1560"/>
        <w:gridCol w:w="1560"/>
        <w:gridCol w:w="1560"/>
        <w:gridCol w:w="1560"/>
        <w:gridCol w:w="1560"/>
      </w:tblGrid>
      <w:tr>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Topic</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Cases</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Severity</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Current Application / Website Status</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Gap Type</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Recommendation</w:t>
            </w:r>
          </w:p>
        </w:tc>
      </w:tr>
      <w:tr>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r>
    </w:tbl>
    <w:p/>
    <w:p>
      <w:pPr>
        <w:pStyle w:val="Heading2"/>
        <w:jc w:val="left"/>
      </w:pPr>
      <w:r>
        <w:rPr>
          <w:rFonts w:ascii="Calibri" w:hAnsi="Calibri" w:eastAsia="Calibri" w:cs="Calibri"/>
          <w:b/>
          <w:color w:val="B68A35"/>
          <w:sz w:val="26"/>
          <w:szCs w:val="26"/>
        </w:rPr>
        <w:t>5.2  Root Causes of the Persistence of Issues</w:t>
      </w:r>
      <w:bookmarkStart w:id="17" w:name="_Toc000000017"/>
      <w:bookmarkEnd w:id="17"/>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Root Cause</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Example of the Challenge</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Solution</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1</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2</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3</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4</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r>
    </w:tbl>
    <w:p/>
    <w:p>
      <w:pPr>
        <w:pStyle w:val="Heading1"/>
        <w:jc w:val="left"/>
      </w:pPr>
      <w:r>
        <w:rPr>
          <w:rFonts w:ascii="Calibri" w:hAnsi="Calibri" w:eastAsia="Calibri" w:cs="Calibri"/>
          <w:b/>
          <w:color w:val="B68A35"/>
          <w:sz w:val="32"/>
          <w:szCs w:val="32"/>
        </w:rPr>
        <w:t>Section Six: Fourth Analysis — Digital Transformation Plan</w:t>
      </w:r>
      <w:bookmarkStart w:id="18" w:name="_Toc000000018"/>
      <w:bookmarkEnd w:id="18"/>
    </w:p>
    <w:p>
      <w:pPr>
        <w:spacing w:after="120"/>
        <w:jc w:val="both"/>
      </w:pPr>
      <w:r>
        <w:rPr>
          <w:rFonts w:ascii="Calibri" w:hAnsi="Calibri" w:eastAsia="Calibri" w:cs="Calibri"/>
          <w:b w:val="0"/>
          <w:i w:val="0"/>
          <w:color w:val="000000"/>
          <w:sz w:val="24"/>
          <w:szCs w:val="24"/>
          <w:u w:val="none"/>
        </w:rPr>
        <w:t>These questions are derived from the most frequent patterns in the textual data for the period January–December 2025, and constitute 7 priority FAQs with a clear pathway for digital handling and proactive notifications. The analysis also shows that 30 interactions (representing 2.8% of the total 1081 cases) can be eliminated entirely through a simple notification system without any structural changes to the services.</w:t>
      </w:r>
    </w:p>
    <w:p>
      <w:pPr>
        <w:pStyle w:val="Heading2"/>
        <w:jc w:val="left"/>
      </w:pPr>
      <w:r>
        <w:rPr>
          <w:rFonts w:ascii="Calibri" w:hAnsi="Calibri" w:eastAsia="Calibri" w:cs="Calibri"/>
          <w:b/>
          <w:color w:val="B68A35"/>
          <w:sz w:val="26"/>
          <w:szCs w:val="26"/>
        </w:rPr>
        <w:t>6.1 Priority FAQs</w:t>
      </w:r>
      <w:bookmarkStart w:id="19" w:name="_Toc000000019"/>
      <w:bookmarkEnd w:id="19"/>
    </w:p>
    <w:p>
      <w:pPr>
        <w:spacing w:after="120"/>
        <w:jc w:val="both"/>
      </w:pPr>
      <w:r>
        <w:rPr>
          <w:rFonts w:ascii="Calibri" w:hAnsi="Calibri" w:eastAsia="Calibri" w:cs="Calibri"/>
          <w:b w:val="0"/>
          <w:i w:val="0"/>
          <w:color w:val="000000"/>
          <w:sz w:val="24"/>
          <w:szCs w:val="24"/>
          <w:u w:val="none"/>
        </w:rPr>
        <w:t>These questions are derived from the most frequent patterns in the textual data.</w:t>
      </w:r>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السؤال</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الإجابة المقترحة</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التكرار</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1</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I submitted a request for a firearm licence or for purchasing/possessing a firearm, and the request has been “under processing” for a long time. How is my request evaluated and when will it be decided?</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Requests for firearm licensing and purchase are presented to a specialised committee at the Directorate of Weapons and Explosives at the Ministry of Interior. Eligibility is assessed according to legal and security requirements, and a request may be rejected while still appearing as “under processing”. Verify that you meet the published requirements, follow up on the request status through the MOI application or the Ministry’s website using UAE PASS, or contact the call centre for inquiries instead of repeating complaints or submitting a new request.</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t>27</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2</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I want to file a criminal report for an incident of fraud or theft via the application. What is the correct method instead of entering it as a service complaint?</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When using the MOI application or the “Police in Your Mobile” service, select “Criminal Reports” from the menu, not “Complaints” or service feedback. Enter the incident details and required attachments, then confirm the request via UAE PASS. If you prefer to attend in person, visit the competent police station and request the registration of a criminal report. Entering the incident only in the complaint section means it will be treated as a service remark without opening a criminal case.</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t>18</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3</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I submitted a request for a licence or purchase of a firearm at the Hunting and Equestrian Exhibition, and it was rejected or delayed, while other requests were approved quickly. Why?</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Requests submitted at the Hunting and Equestrian Exhibition are subject to the same firearm licensing criteria applied at the Ministry of Interior, including security checks and eligibility conditions. Each request is evaluated individually; some requests may be rejected or remain pending due to failure to meet a specific requirement, even if other requests were approved on the same day. It is recommended to review the published requirements, then inquire with the Directorate of Weapons and Explosives through official MOI channels or the call centre.</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t>13</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4</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I was subjected to electronic financial fraud or transferred an amount by mistake. How do I correctly file a criminal report about this incident?</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These incidents are recorded as criminal reports. Access the MOI application and select “Criminal Reports”, then choose the type of fraud and attach the account statement, receipts, and copies of conversations, and confirm the request via UAE PASS. Alternatively, visit the police station in the emirate where the incident occurred with the original documents. After registration, the police will address the banks and concerned entities. Submitting such incidents only as service complaints will not open a criminal case.</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t>11</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5</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I have a firearm licence or purchase/possession request that is “under processing” and I wish to delete it to submit a new request. How do I cancel it?</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The request cannot be cancelled directly by the user in the system. Contact the MOI call centre or Smart Services Support and provide the request number along with a cancellation request. Coordination will be made with the Directorate of Weapons and Explosives to cancel the request from the back-end system. After receiving cancellation confirmation via SMS or MOI application notification, you may submit a new request, including requests related to the Hunting and Equestrian Exhibition, using UAE PASS.</w:t>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t>9</w:t>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6</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I submitted a request for a Good Conduct Certificate or Criminal Status Certificate and paid the fees, but I have not received the certificate yet. What is the reason?</w:t>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First, check the status of the request in the MOI application or on the website using UAE PASS to ensure that an electronic copy has not already been issued. The request may still be with the Criminal Records Department, or there may be previous records or a circular requiring referral to the Public Prosecution or the competent judicial authority. Sometimes there is an issue with the fingerprint or ID data that requires visiting the competent authority. When a review alert appears, follow the instructions or contact the police station or call centre.</w:t>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t>9</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7</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I discovered that I registered a criminal incident under the complaints section instead of the criminal reports section in the application. What should I do?</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Log in again to the MOI application and select the “Criminal Report” or “Security Reports” service, then re-enter the incident details, attach the documents, and confirm them via UAE PASS. The previous transaction will remain only as a service complaint. Before resubmitting, you may contact the call centre or the nearest police station to determine the competent authority and the correct pathway within the application to ensure that the report is recorded as an official criminal case.</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7</w:t>
            </w:r>
          </w:p>
        </w:tc>
      </w:tr>
    </w:tbl>
    <w:p/>
    <w:p>
      <w:pPr>
        <w:pStyle w:val="Heading2"/>
        <w:jc w:val="left"/>
      </w:pPr>
      <w:r>
        <w:rPr>
          <w:rFonts w:ascii="Calibri" w:hAnsi="Calibri" w:eastAsia="Calibri" w:cs="Calibri"/>
          <w:b/>
          <w:color w:val="B68A35"/>
          <w:sz w:val="26"/>
          <w:szCs w:val="26"/>
        </w:rPr>
        <w:t>6.2 Pathway for Eliminating 30 Interactions via Proactive Notification</w:t>
      </w:r>
      <w:bookmarkStart w:id="20" w:name="_Toc000000020"/>
      <w:bookmarkEnd w:id="20"/>
    </w:p>
    <w:p>
      <w:pPr>
        <w:spacing w:after="120"/>
        <w:jc w:val="both"/>
      </w:pPr>
      <w:r>
        <w:rPr>
          <w:rFonts w:ascii="Calibri" w:hAnsi="Calibri" w:eastAsia="Calibri" w:cs="Calibri"/>
          <w:b w:val="0"/>
          <w:i w:val="0"/>
          <w:color w:val="000000"/>
          <w:sz w:val="24"/>
          <w:szCs w:val="24"/>
          <w:u w:val="none"/>
        </w:rPr>
        <w:t>Data analysis reveals that 30 interactions (3% of the total) could have been fully eliminated through a simple notification system — without any structural change to systems or procedures:</w:t>
      </w:r>
    </w:p>
    <w:tbl>
      <w:tblPr>
        <w:tblStyle w:val="TableGrid"/>
        <w:tblW w:type="auto" w:w="0"/>
        <w:tblLook w:firstColumn="1" w:firstRow="1" w:lastColumn="0" w:lastRow="0" w:noHBand="0" w:noVBand="1" w:val="04A0"/>
        <w:tblLayout w:type="fixed"/>
      </w:tblPr>
      <w:tblGrid>
        <w:gridCol w:w="1872"/>
        <w:gridCol w:w="1872"/>
        <w:gridCol w:w="1872"/>
        <w:gridCol w:w="1872"/>
        <w:gridCol w:w="1872"/>
      </w:tblGrid>
      <w:tr>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نوع الإشعار</w:t>
            </w:r>
          </w:p>
        </w:tc>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الحالات المُلغاة</w:t>
            </w:r>
          </w:p>
        </w:tc>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محتوى الإشعار (مثال)</w:t>
            </w:r>
          </w:p>
        </w:tc>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القناة</w:t>
            </w:r>
          </w:p>
        </w:tc>
        <w:tc>
          <w:tcPr>
            <w:tcW w:type="dxa" w:w="1872"/>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الأثر المتوقع</w:t>
            </w:r>
          </w:p>
        </w:tc>
      </w:tr>
      <w:tr>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WRONG_VEHICLE_IMAGE_IN_FINE</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12 حالة</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“Dear customer, the violation No. [X] has been reviewed and a discrepancy in the vehicle image was identified. Please verify via the MOI application or respond within [X] days so that the appropriate action can be taken.”</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SMS + in-app notification in MOI</w:t>
            </w:r>
          </w:p>
        </w:tc>
        <w:tc>
          <w:tcPr>
            <w:tcW w:type="dxa" w:w="1872"/>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t>Elimination of 12 cases (1.1% of total cases)</w:t>
            </w:r>
          </w:p>
        </w:tc>
      </w:tr>
      <w:tr>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SERVICE_COMPLETED_BUT_NOT_DELIVERED</w:t>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10 حالات</w:t>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“Dear customer, your request No. [X] has been completed. To download the certificate/document, please log in to the MOI application or use the tracking link [X]. If you have any inquiry, please contact us.”</w:t>
            </w:r>
          </w:p>
        </w:tc>
        <w:tc>
          <w:tcPr>
            <w:tcW w:type="dxa" w:w="1872"/>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SMS with tracking link</w:t>
            </w:r>
          </w:p>
        </w:tc>
        <w:tc>
          <w:tcPr>
            <w:tcW w:type="dxa" w:w="1872"/>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t>Elimination of 10 cases (0.9% of total cases)</w:t>
            </w:r>
          </w:p>
        </w:tc>
      </w:tr>
      <w:tr>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PROCESSING_DELAY_NO_STATUS_UPDATES</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8 حالات</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“Dear customer, your request No. [X] is still under process with the competent entity, and the estimated completion date is [X]. There is no need to submit a new inquiry at this time.”</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SMS + email</w:t>
            </w:r>
          </w:p>
        </w:tc>
        <w:tc>
          <w:tcPr>
            <w:tcW w:type="dxa" w:w="1872"/>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Elimination of 8 cases (0.7% of total cases)</w:t>
            </w:r>
          </w:p>
        </w:tc>
      </w:tr>
    </w:tbl>
    <w:p/>
    <w:p>
      <w:pPr>
        <w:pStyle w:val="Heading1"/>
        <w:jc w:val="left"/>
      </w:pPr>
      <w:r>
        <w:rPr>
          <w:rFonts w:ascii="Calibri" w:hAnsi="Calibri" w:eastAsia="Calibri" w:cs="Calibri"/>
          <w:b/>
          <w:color w:val="B68A35"/>
          <w:sz w:val="32"/>
          <w:szCs w:val="32"/>
        </w:rPr>
        <w:t>Seventh: AI-Powered Use Cases</w:t>
      </w:r>
      <w:bookmarkStart w:id="21" w:name="_Toc000000021"/>
      <w:bookmarkEnd w:id="21"/>
    </w:p>
    <w:p>
      <w:pPr>
        <w:spacing w:after="120"/>
        <w:jc w:val="both"/>
      </w:pPr>
      <w:r>
        <w:rPr>
          <w:rFonts w:ascii="Calibri" w:hAnsi="Calibri" w:eastAsia="Calibri" w:cs="Calibri"/>
          <w:b w:val="0"/>
          <w:i w:val="0"/>
          <w:color w:val="000000"/>
          <w:sz w:val="24"/>
          <w:szCs w:val="24"/>
          <w:u w:val="none"/>
        </w:rPr>
        <w:t>The opportunities identified in January–December 2025 integrate with artificial intelligence capabilities to build a smart self-service ecosystem that covers more than 86.0% of current customer interactions without human intervention in classification. This includes automating the classification and processing of 1081 cases through four smart tools specialized in verifying violation images, routing to the competent authority, checking document quality, and detecting geographical friction points.</w:t>
      </w:r>
    </w:p>
    <w:p>
      <w:pPr>
        <w:spacing w:after="120"/>
        <w:jc w:val="both"/>
      </w:pPr>
      <w:r>
        <w:rPr>
          <w:rFonts w:ascii="Calibri" w:hAnsi="Calibri" w:eastAsia="Calibri" w:cs="Calibri"/>
          <w:b w:val="0"/>
          <w:i w:val="0"/>
          <w:color w:val="000000"/>
          <w:sz w:val="24"/>
          <w:szCs w:val="24"/>
          <w:u w:val="none"/>
        </w:rPr>
        <w:t>Key note: Training data is now ready based on 1081 classified and labeled cases from the period January–December 2025, representing a complete real-world sample of the nature of customer inquiries to Fujairah Police. This labeled data stock enables the immediate start of training the AI-powered classification model and aligning it with the current operational work environment.</w:t>
      </w:r>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Tool</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Function</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Expected impact on January–December 2025 data</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Implementation assessment</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234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r>
    </w:tbl>
    <w:p/>
    <w:p>
      <w:pPr>
        <w:pStyle w:val="Heading1"/>
        <w:jc w:val="left"/>
      </w:pPr>
      <w:r>
        <w:rPr>
          <w:rFonts w:ascii="Calibri" w:hAnsi="Calibri" w:eastAsia="Calibri" w:cs="Calibri"/>
          <w:b/>
          <w:color w:val="B68A35"/>
          <w:sz w:val="32"/>
          <w:szCs w:val="32"/>
        </w:rPr>
        <w:t>Eighth: Proposed Improvement Roadmap</w:t>
      </w:r>
      <w:bookmarkStart w:id="22" w:name="_Toc000000022"/>
      <w:bookmarkEnd w:id="22"/>
    </w:p>
    <w:p>
      <w:pPr>
        <w:spacing w:after="120"/>
        <w:jc w:val="both"/>
      </w:pPr>
      <w:r>
        <w:rPr>
          <w:rFonts w:ascii="Calibri" w:hAnsi="Calibri" w:eastAsia="Calibri" w:cs="Calibri"/>
          <w:b w:val="0"/>
          <w:i w:val="0"/>
          <w:color w:val="000000"/>
          <w:sz w:val="24"/>
          <w:szCs w:val="24"/>
          <w:u w:val="none"/>
        </w:rPr>
        <w:t>This roadmap consolidates the recommendations from the four analyses into a graduated priority system, based exclusively on data for the period January – December 2025, and covering all types of registered customer inquiries, with a total of 1081 cases. The roadmap includes seven fully specified improvement items derived directly from the data, with no generic recommendations, ordered by the strength of the expected impact and ease of implementation across immediate, short-term, and long-term time horizons.</w:t>
      </w:r>
    </w:p>
    <w:tbl>
      <w:tblPr>
        <w:tblStyle w:val="TableGrid"/>
        <w:tblW w:type="auto" w:w="0"/>
        <w:tblLook w:firstColumn="1" w:firstRow="1" w:lastColumn="0" w:lastRow="0" w:noHBand="0" w:noVBand="1" w:val="04A0"/>
        <w:tblLayout w:type="fixed"/>
      </w:tblPr>
      <w:tblGrid>
        <w:gridCol w:w="1560"/>
        <w:gridCol w:w="1560"/>
        <w:gridCol w:w="1560"/>
        <w:gridCol w:w="1560"/>
        <w:gridCol w:w="1560"/>
        <w:gridCol w:w="1560"/>
      </w:tblGrid>
      <w:tr>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Time Horizon</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Recommendation</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Source</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Expected Impact</w:t>
            </w:r>
          </w:p>
        </w:tc>
        <w:tc>
          <w:tcPr>
            <w:tcW w:type="dxa" w:w="156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Effort</w:t>
            </w:r>
          </w:p>
        </w:tc>
      </w:tr>
      <w:tr>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1</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2</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3</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4</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5</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6</w:t>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7</w:t>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156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r>
    </w:tbl>
    <w:p/>
    <w:p>
      <w:pPr>
        <w:pStyle w:val="Heading1"/>
        <w:jc w:val="left"/>
      </w:pPr>
      <w:r>
        <w:rPr>
          <w:rFonts w:ascii="Calibri" w:hAnsi="Calibri" w:eastAsia="Calibri" w:cs="Calibri"/>
          <w:b/>
          <w:color w:val="B68A35"/>
          <w:sz w:val="32"/>
          <w:szCs w:val="32"/>
        </w:rPr>
        <w:t>Ninth: Conclusion — From Data to Decision</w:t>
      </w:r>
      <w:bookmarkStart w:id="23" w:name="_Toc000000023"/>
      <w:bookmarkEnd w:id="23"/>
    </w:p>
    <w:p>
      <w:pPr>
        <w:spacing w:after="120"/>
        <w:jc w:val="both"/>
      </w:pPr>
      <w:r>
        <w:rPr>
          <w:rFonts w:ascii="Calibri" w:hAnsi="Calibri" w:eastAsia="Calibri" w:cs="Calibri"/>
          <w:b w:val="0"/>
          <w:i w:val="0"/>
          <w:color w:val="000000"/>
          <w:sz w:val="24"/>
          <w:szCs w:val="24"/>
          <w:u w:val="none"/>
        </w:rPr>
        <w:t>Final message: Recording 96.4% of requests through digital submission channels (application / website / email / NCRM) in parallel with achieving a closure rate within the service level agreement of 96.9% confirms the outstanding efficiency of the operational intake channel, while showing that 45.8% of friction cases are linked to the digital service context itself, such as application errors, online renewal, or digital payment. This means that the gap lies not in providing the channel, but in the efficiency of the digital functions. The reclassification, which covered 930 cases at a rate of 86.0%, shows that the core challenge is not the lack of new communication channels as much as it is the lack of precise supporting functions and services, with the highest friction point appearing in “traffic violations on a vehicle other than the customer’s vehicle or while the customer is absent from Fujairah”, with 155 cases. Based on the above, this analysis proves that the effective improvement pathway is centered on closing functional gaps, activating proactive notifications to cancel more than 30 cancelable cases, and correcting data quality to ensure systematic handling of the 4 critical gaps without the need to expand human resources.</w:t>
      </w:r>
    </w:p>
    <w:p>
      <w:pPr>
        <w:pStyle w:val="Heading2"/>
        <w:jc w:val="left"/>
      </w:pPr>
      <w:r>
        <w:rPr>
          <w:rFonts w:ascii="Calibri" w:hAnsi="Calibri" w:eastAsia="Calibri" w:cs="Calibri"/>
          <w:b/>
          <w:color w:val="B68A35"/>
          <w:sz w:val="26"/>
          <w:szCs w:val="26"/>
        </w:rPr>
        <w:t>The Three Transformation Pillars</w:t>
      </w:r>
      <w:bookmarkStart w:id="24" w:name="_Toc000000024"/>
      <w:bookmarkEnd w:id="24"/>
    </w:p>
    <w:tbl>
      <w:tblPr>
        <w:tblStyle w:val="TableGrid"/>
        <w:tblW w:type="auto" w:w="0"/>
        <w:tblLook w:firstColumn="1" w:firstRow="1" w:lastColumn="0" w:lastRow="0" w:noHBand="0" w:noVBand="1" w:val="04A0"/>
        <w:tblLayout w:type="fixed"/>
      </w:tblPr>
      <w:tblGrid>
        <w:gridCol w:w="3120"/>
        <w:gridCol w:w="3120"/>
        <w:gridCol w:w="3120"/>
      </w:tblGrid>
      <w:tr>
        <w:tc>
          <w:tcPr>
            <w:tcW w:type="dxa" w:w="312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Pillar One: Accuracy</w:t>
            </w:r>
          </w:p>
        </w:tc>
        <w:tc>
          <w:tcPr>
            <w:tcW w:type="dxa" w:w="312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Pillar Two: Accessibility</w:t>
            </w:r>
          </w:p>
        </w:tc>
        <w:tc>
          <w:tcPr>
            <w:tcW w:type="dxa" w:w="312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Pillar Three: Intelligence</w:t>
            </w:r>
          </w:p>
        </w:tc>
      </w:tr>
      <w:tr>
        <w:tc>
          <w:tcPr>
            <w:tcW w:type="dxa" w:w="312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312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312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312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312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3120"/>
            <w:shd w:val="clear" w:color="auto" w:fill="D9D9D9"/>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312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312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3120"/>
            <w:shd w:val="clear" w:color="auto" w:fill="FFFFFF"/>
            <w:tcMar>
              <w:top w:w="60" w:type="dxa"/>
              <w:bottom w:w="60" w:type="dxa"/>
              <w:left w:w="108" w:type="dxa"/>
              <w:right w:w="108" w:type="dxa"/>
            </w:tcMar>
            <w:tcBorders>
              <w:left w:val="single" w:sz="4" w:space="0" w:color="CCCCCC"/>
              <w:top w:val="single" w:sz="4" w:space="0" w:color="CCCCCC"/>
              <w:bottom w:val="single" w:sz="4" w:space="0" w:color="CCCCCC"/>
              <w:right w:val="single" w:sz="4" w:space="0" w:color="CCCCCC"/>
            </w:tcBorders>
          </w:tcPr>
          <w:p>
            <w:pPr>
              <w:spacing w:before="60" w:after="60"/>
              <w:jc w:val="left"/>
            </w:pPr>
            <w:r>
              <w:rPr>
                <w:rFonts w:ascii="Calibri" w:hAnsi="Calibri" w:eastAsia="Calibri" w:cs="Calibri"/>
                <w:b w:val="0"/>
                <w:color w:val="000000"/>
                <w:sz w:val="20"/>
                <w:szCs w:val="20"/>
              </w:rPr>
            </w:r>
          </w:p>
        </w:tc>
      </w:tr>
      <w:tr>
        <w:tc>
          <w:tcPr>
            <w:tcW w:type="dxa" w:w="312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312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c>
          <w:tcPr>
            <w:tcW w:type="dxa" w:w="3120"/>
            <w:shd w:val="clear" w:color="auto" w:fill="D9D9D9"/>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r>
          </w:p>
        </w:tc>
      </w:tr>
    </w:tbl>
    <w:p/>
    <w:p>
      <w:pPr>
        <w:pStyle w:val="Heading2"/>
        <w:jc w:val="left"/>
      </w:pPr>
      <w:r>
        <w:rPr>
          <w:rFonts w:ascii="Calibri" w:hAnsi="Calibri" w:eastAsia="Calibri" w:cs="Calibri"/>
          <w:b/>
          <w:color w:val="B68A35"/>
          <w:sz w:val="26"/>
          <w:szCs w:val="26"/>
        </w:rPr>
        <w:t>Expected Aggregate Impact:</w:t>
      </w:r>
      <w:bookmarkStart w:id="25" w:name="_Toc000000025"/>
      <w:bookmarkEnd w:id="25"/>
    </w:p>
    <w:tbl>
      <w:tblPr>
        <w:tblStyle w:val="TableGrid"/>
        <w:tblW w:type="auto" w:w="0"/>
        <w:tblLook w:firstColumn="1" w:firstRow="1" w:lastColumn="0" w:lastRow="0" w:noHBand="0" w:noVBand="1" w:val="04A0"/>
        <w:tblLayout w:type="fixed"/>
      </w:tblPr>
      <w:tblGrid>
        <w:gridCol w:w="2340"/>
        <w:gridCol w:w="2340"/>
        <w:gridCol w:w="2340"/>
        <w:gridCol w:w="2340"/>
      </w:tblGrid>
      <w:tr>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13.6%</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30+</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95%+</w:t>
            </w:r>
          </w:p>
        </w:tc>
        <w:tc>
          <w:tcPr>
            <w:tcW w:type="dxa" w:w="2340"/>
            <w:shd w:val="clear" w:color="auto" w:fill="B68A35"/>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color w:val="FFFFFF"/>
                <w:sz w:val="20"/>
                <w:szCs w:val="20"/>
              </w:rPr>
              <w:t>30-40%</w:t>
            </w:r>
          </w:p>
        </w:tc>
      </w:tr>
      <w:tr>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of contact requests are genuine inquiries that can be fully converted to proactive service</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cases that can be cancelled via proactive notification</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accuracy of case classification after the automated classifier and implementation of the proposed initiatives</w:t>
            </w:r>
          </w:p>
        </w:tc>
        <w:tc>
          <w:tcPr>
            <w:tcW w:type="dxa" w:w="2340"/>
            <w:shd w:val="clear" w:color="auto" w:fill="FFFFFF"/>
            <w:tcMar>
              <w:top w:w="60" w:type="dxa"/>
              <w:bottom w:w="60" w:type="dxa"/>
              <w:left w:w="108" w:type="dxa"/>
              <w:right w:w="108" w:type="dxa"/>
            </w:tcMar>
            <w:tcBorders>
              <w:left w:val="single" w:sz="4" w:space="0" w:color="CCCCCC"/>
              <w:top w:val="single" w:sz="4" w:space="0" w:color="CCCCCC"/>
              <w:right w:val="single" w:sz="4" w:space="0" w:color="CCCCCC"/>
              <w:bottom w:val="single" w:sz="4" w:space="0" w:color="CCCCCC"/>
            </w:tcBorders>
          </w:tcPr>
          <w:p>
            <w:pPr>
              <w:spacing w:before="60" w:after="60"/>
              <w:jc w:val="left"/>
            </w:pPr>
            <w:r>
              <w:rPr>
                <w:rFonts w:ascii="Calibri" w:hAnsi="Calibri" w:eastAsia="Calibri" w:cs="Calibri"/>
                <w:b w:val="0"/>
                <w:color w:val="000000"/>
                <w:sz w:val="20"/>
                <w:szCs w:val="20"/>
              </w:rPr>
              <w:t>reduction in repeated contact and calls</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12" w:space="4" w:color="B68A35"/>
      </w:pBdr>
    </w:pPr>
    <w:r>
      <w:rPr>
        <w:rFonts w:ascii="Calibri" w:hAnsi="Calibri" w:eastAsia="Calibri" w:cs="Calibri"/>
        <w:sz w:val="18"/>
        <w:szCs w:val="18"/>
      </w:rPr>
      <w:t xml:space="preserve">Confidential — Internal Use Only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pStyle w:val="Header"/>
      <w:jc w:val="center"/>
      <w:pBdr>
        <w:bottom w:val="single" w:sz="12" w:space="4" w:color="B68A35"/>
      </w:pBdr>
    </w:pPr>
    <w:r>
      <w:rPr>
        <w:rFonts w:ascii="Calibri" w:hAnsi="Calibri" w:eastAsia="Calibri" w:cs="Calibri"/>
        <w:color w:val="B68A35"/>
        <w:sz w:val="20"/>
        <w:szCs w:val="20"/>
        <w:rtl/>
      </w:rPr>
      <w:t>تقرير تحليل استفسارات المتعاملين  ·  يناير - ديسمبر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s="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cs="Calibri"/>
      <w:b/>
      <w:bCs/>
      <w:color w:val="B68A3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Calibri"/>
      <w:b/>
      <w:bCs/>
      <w:color w:val="B68A3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cs="Calibri"/>
      <w:b/>
      <w:bCs/>
      <w:color w:val="B68A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Heading">
    <w:name w:val="TOC Heading"/>
    <w:basedOn w:val="Heading1"/>
    <w:next w:val="Normal"/>
    <w:uiPriority w:val="39"/>
    <w:unhideWhenUsed/>
    <w:qFormat/>
    <w:pPr>
      <w:shd w:val="clear" w:color="auto" w:fill="B68A35"/>
      <w:spacing w:before="0" w:line="240" w:lineRule="auto"/>
      <w:ind w:left="0"/>
      <w:jc w:val="left"/>
    </w:pPr>
    <w:rPr>
      <w:rFonts w:ascii="Calibri" w:hAnsi="Calibri" w:cs="Calibri"/>
      <w:b/>
      <w:bCs/>
      <w:color w:val="FFFFFF"/>
    </w:rPr>
  </w:style>
  <w:style w:type="paragraph" w:styleId="TOC1">
    <w:name w:val="toc 1"/>
    <w:basedOn w:val="Normal"/>
    <w:next w:val="Normal"/>
    <w:autoRedefine/>
    <w:uiPriority w:val="39"/>
    <w:unhideWhenUsed/>
    <w:pPr>
      <w:tabs>
        <w:tab w:val="right" w:leader="dot" w:pos="9310"/>
      </w:tabs>
      <w:spacing w:after="100"/>
      <w:jc w:val="left"/>
    </w:pPr>
    <w:rPr>
      <w:rFonts w:cs="Calibri"/>
    </w:rPr>
  </w:style>
  <w:style w:type="paragraph" w:styleId="TOC2">
    <w:name w:val="toc 2"/>
    <w:basedOn w:val="Normal"/>
    <w:next w:val="Normal"/>
    <w:autoRedefine/>
    <w:uiPriority w:val="39"/>
    <w:unhideWhenUsed/>
    <w:pPr>
      <w:tabs>
        <w:tab w:val="right" w:leader="dot" w:pos="9310"/>
      </w:tabs>
      <w:spacing w:after="100"/>
      <w:jc w:val="left"/>
    </w:pPr>
    <w:rPr>
      <w:rFonts w:cs="Calibri"/>
    </w:rPr>
  </w:style>
  <w:style w:type="paragraph" w:styleId="TOC3">
    <w:name w:val="toc 3"/>
    <w:basedOn w:val="Normal"/>
    <w:next w:val="Normal"/>
    <w:autoRedefine/>
    <w:uiPriority w:val="39"/>
    <w:unhideWhenUsed/>
    <w:pPr>
      <w:tabs>
        <w:tab w:val="right" w:leader="dot" w:pos="9310"/>
      </w:tabs>
      <w:spacing w:after="100"/>
      <w:jc w:val="left"/>
    </w:pPr>
    <w:rPr>
      <w:rFonts w:cs="Calibri"/>
    </w:rPr>
  </w:style>
  <w:style w:type="character" w:styleId="Hyperlink">
    <w:name w:val="Hyperlink"/>
    <w:basedOn w:val="DefaultParagraphFont"/>
    <w:uiPriority w:val="99"/>
    <w:unhideWhenUsed/>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chart" Target="charts/chart1.xml"/><Relationship Id="rId13" Type="http://schemas.openxmlformats.org/officeDocument/2006/relationships/chart" Target="charts/chart2.xml"/><Relationship Id="rId14" Type="http://schemas.openxmlformats.org/officeDocument/2006/relationships/chart" Target="charts/chart3.xml"/><Relationship Id="rId15" Type="http://schemas.openxmlformats.org/officeDocument/2006/relationships/chart" Target="charts/chart4.xml"/></Relationships>
</file>

<file path=word/charts/_rels/chart1.xml.rels><?xml version="1.0" encoding="UTF-8" standalone="yes"?>
<Relationships xmlns="http://schemas.openxmlformats.org/package/2006/relationships"><Relationship Id="rId1" Type="http://schemas.openxmlformats.org/officeDocument/2006/relationships/package" Target="../embeddings/chart1_data.xlsx"/></Relationships>
</file>

<file path=word/charts/_rels/chart2.xml.rels><?xml version="1.0" encoding="UTF-8" standalone="yes"?>
<Relationships xmlns="http://schemas.openxmlformats.org/package/2006/relationships"><Relationship Id="rId1" Type="http://schemas.openxmlformats.org/officeDocument/2006/relationships/package" Target="../embeddings/chart2_data.xlsx"/></Relationships>
</file>

<file path=word/charts/_rels/chart3.xml.rels><?xml version="1.0" encoding="UTF-8" standalone="yes"?>
<Relationships xmlns="http://schemas.openxmlformats.org/package/2006/relationships"><Relationship Id="rId1" Type="http://schemas.openxmlformats.org/officeDocument/2006/relationships/package" Target="../embeddings/chart3_data.xlsx"/></Relationships>
</file>

<file path=word/charts/_rels/chart4.xml.rels><?xml version="1.0" encoding="UTF-8" standalone="yes"?>
<Relationships xmlns="http://schemas.openxmlformats.org/package/2006/relationships"><Relationship Id="rId1" Type="http://schemas.openxmlformats.org/officeDocument/2006/relationships/package" Target="../embeddings/chart4_data.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r>
              <a:rPr lang="ar-SA" sz="1200"/>
              <a:t>Original Classification vs. Correct Classification</a:t>
            </a:r>
          </a:p>
        </c:rich>
      </c:tx>
      <c:overlay val="0"/>
    </c:title>
    <c:plotArea>
      <c:layout/>
      <c:barChart>
        <c:barDir val="col"/>
        <c:grouping val="clustered"/>
        <c:varyColors val="0"/>
        <c:ser>
          <c:idx val="0"/>
          <c:order val="0"/>
          <c:tx>
            <c:strRef>
              <c:f>Sheet1!$B$1</c:f>
              <c:strCache>
                <c:ptCount val="1"/>
                <c:pt idx="0">
                  <c:v>Correct classification</c:v>
                </c:pt>
              </c:strCache>
            </c:strRef>
          </c:tx>
          <c:spPr>
            <a:solidFill>
              <a:srgbClr val="B68A35"/>
            </a:solidFill>
            <a:ln>
              <a:solidFill>
                <a:srgbClr val="B68A35"/>
              </a:solidFill>
            </a:ln>
          </c:spPr>
          <c:cat>
            <c:strRef>
              <c:f>Sheet1!$A$2:$A$5</c:f>
              <c:strCache>
                <c:ptCount val="4"/>
                <c:pt idx="0">
                  <c:v>Complaint</c:v>
                </c:pt>
                <c:pt idx="1">
                  <c:v>Inquiry</c:v>
                </c:pt>
                <c:pt idx="2">
                  <c:v>Request</c:v>
                </c:pt>
                <c:pt idx="3">
                  <c:v>Appreciation and thanks</c:v>
                </c:pt>
              </c:strCache>
            </c:strRef>
          </c:cat>
          <c:val>
            <c:numRef>
              <c:f>Sheet1!$B$2:$B$5</c:f>
              <c:numCache>
                <c:formatCode>General</c:formatCode>
                <c:ptCount val="4"/>
                <c:pt idx="0">
                  <c:v>705.0</c:v>
                </c:pt>
                <c:pt idx="1">
                  <c:v>147.0</c:v>
                </c:pt>
                <c:pt idx="2">
                  <c:v>219.0</c:v>
                </c:pt>
                <c:pt idx="3">
                  <c:v>10.0</c:v>
                </c:pt>
              </c:numCache>
            </c:numRef>
          </c:val>
        </c:ser>
        <c:ser>
          <c:idx val="1"/>
          <c:order val="1"/>
          <c:tx>
            <c:strRef>
              <c:f>Sheet1!$C$1</c:f>
              <c:strCache>
                <c:ptCount val="1"/>
                <c:pt idx="0">
                  <c:v>Original classification</c:v>
                </c:pt>
              </c:strCache>
            </c:strRef>
          </c:tx>
          <c:spPr>
            <a:solidFill>
              <a:srgbClr val="E5E5E5"/>
            </a:solidFill>
            <a:ln>
              <a:solidFill>
                <a:srgbClr val="E5E5E5"/>
              </a:solidFill>
            </a:ln>
          </c:spPr>
          <c:cat>
            <c:strRef>
              <c:f>Sheet1!$A$2:$A$5</c:f>
              <c:strCache>
                <c:ptCount val="4"/>
                <c:pt idx="0">
                  <c:v>Complaint</c:v>
                </c:pt>
                <c:pt idx="1">
                  <c:v>Inquiry</c:v>
                </c:pt>
                <c:pt idx="2">
                  <c:v>Request</c:v>
                </c:pt>
                <c:pt idx="3">
                  <c:v>Appreciation and thanks</c:v>
                </c:pt>
              </c:strCache>
            </c:strRef>
          </c:cat>
          <c:val>
            <c:numRef>
              <c:f>Sheet1!$C$2:$C$5</c:f>
              <c:numCache>
                <c:formatCode>General</c:formatCode>
                <c:ptCount val="4"/>
                <c:pt idx="0">
                  <c:v>0.0</c:v>
                </c:pt>
                <c:pt idx="1">
                  <c:v>1067.0</c:v>
                </c:pt>
                <c:pt idx="2">
                  <c:v>6.0</c:v>
                </c:pt>
                <c:pt idx="3">
                  <c:v>0.0</c:v>
                </c:pt>
              </c:numCache>
            </c:numRef>
          </c:val>
        </c:ser>
        <c:axId val="1"/>
        <c:axId val="2"/>
      </c:barChart>
      <c:catAx>
        <c:axId val="1"/>
        <c:scaling>
          <c:orientation val="minMax"/>
        </c:scaling>
        <c:delete val="0"/>
        <c:axPos val="b"/>
        <c:majorTickMark val="out"/>
        <c:minorTickMark val="none"/>
        <c:tickLblPos val="nextTo"/>
        <c:crossAx val="2"/>
        <c:crosses val="autoZero"/>
        <c:auto val="1"/>
        <c:lblAlgn val="ctr"/>
        <c:lblOffset val="100"/>
        <c:noMultiLvlLbl val="0"/>
        <c:txPr>
          <a:bodyPr/>
          <a:lstStyle/>
          <a:p>
            <a:pPr>
              <a:defRPr sz="900"/>
            </a:pPr>
          </a:p>
        </c:txPr>
      </c:catAx>
      <c:valAx>
        <c:axId val="2"/>
        <c:scaling/>
        <c:delete val="0"/>
        <c:axPos val="l"/>
        <c:majorGridlines/>
        <c:majorTickMark val="out"/>
        <c:minorTickMark val="none"/>
        <c:tickLblPos val="nextTo"/>
        <c:crossAx val="1"/>
        <c:crosses val="autoZero"/>
        <c:txPr>
          <a:bodyPr/>
          <a:lstStyle/>
          <a:p>
            <a:pPr>
              <a:defRPr sz="900"/>
            </a:pPr>
          </a:p>
        </c:txPr>
      </c:valAx>
      <c:spPr>
        <a:solidFill>
          <a:srgbClr val="FFFFFF"/>
        </a:solidFill>
      </c:spPr>
    </c:plotArea>
    <c:dispBlanksAs val="gap"/>
    <c:legend>
      <c:legendPos val="b"/>
      <c:overlay val="0"/>
      <c:txPr>
        <a:bodyPr/>
        <a:lstStyle/>
        <a:p>
          <a:pPr>
            <a:defRPr sz="900"/>
          </a:pPr>
        </a:p>
      </c:txPr>
    </c:legend>
    <c:plotVisOnly val="1"/>
  </c:chart>
  <c:txPr>
    <a:bodyPr/>
    <a:lstStyle/>
    <a:p>
      <a:pPr>
        <a:defRPr sz="1800"/>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r>
              <a:rPr lang="ar-SA" sz="1200"/>
              <a:t>Distribution of Requests by Service</a:t>
            </a:r>
          </a:p>
        </c:rich>
      </c:tx>
      <c:overlay val="0"/>
    </c:title>
    <c:plotArea>
      <c:layout/>
      <c:barChart>
        <c:barDir val="col"/>
        <c:grouping val="clustered"/>
        <c:varyColors val="0"/>
        <c:ser>
          <c:idx val="0"/>
          <c:order val="0"/>
          <c:tx>
            <c:strRef>
              <c:f>Sheet1!$B$1</c:f>
              <c:strCache>
                <c:ptCount val="1"/>
                <c:pt idx="0">
                  <c:v>Distribution of requests by service</c:v>
                </c:pt>
              </c:strCache>
            </c:strRef>
          </c:tx>
          <c:spPr>
            <a:solidFill>
              <a:srgbClr val="B68A35"/>
            </a:solidFill>
            <a:ln>
              <a:solidFill>
                <a:srgbClr val="B68A35"/>
              </a:solidFill>
            </a:ln>
          </c:spPr>
          <c:cat>
            <c:strRef>
              <c:f>Sheet1!$A$2:$A$38</c:f>
              <c:strCache>
                <c:ptCount val="37"/>
                <c:pt idx="0">
                  <c:v>Other</c:v>
                </c:pt>
                <c:pt idx="1">
                  <c:v>Opening traffic reports</c:v>
                </c:pt>
                <c:pt idx="2">
                  <c:v>Objection to traffic violations</c:v>
                </c:pt>
                <c:pt idx="3">
                  <c:v>Opening criminal reports</c:v>
                </c:pt>
                <c:pt idx="4">
                  <c:v>Driving licence delivery</c:v>
                </c:pt>
                <c:pt idx="5">
                  <c:v>Verification of traffic violations</c:v>
                </c:pt>
                <c:pt idx="6">
                  <c:v>Approval request for weapon licence (new weapon)</c:v>
                </c:pt>
                <c:pt idx="7">
                  <c:v>Payment of traffic violations</c:v>
                </c:pt>
                <c:pt idx="8">
                  <c:v>Vehicle driving licence renewal</c:v>
                </c:pt>
                <c:pt idx="9">
                  <c:v>Certificate of Good Conduct – Criminal Status Check</c:v>
                </c:pt>
                <c:pt idx="10">
                  <c:v>Vehicle ownership renewal</c:v>
                </c:pt>
                <c:pt idx="11">
                  <c:v>Vehicle ownership delivery</c:v>
                </c:pt>
                <c:pt idx="12">
                  <c:v>Weapon licence request</c:v>
                </c:pt>
                <c:pt idx="13">
                  <c:v>Request to renew licence for possession and use of weapons and ammunition (shooting club)</c:v>
                </c:pt>
                <c:pt idx="14">
                  <c:v>Visit the competent authority</c:v>
                </c:pt>
                <c:pt idx="15">
                  <c:v>Complaint status inquiry</c:v>
                </c:pt>
                <c:pt idx="16">
                  <c:v>Update traffic file data</c:v>
                </c:pt>
                <c:pt idx="17">
                  <c:v>Approval request for purchase of weapon or ammunition</c:v>
                </c:pt>
                <c:pt idx="18">
                  <c:v>Issuance of permits for use of People of Determination parking</c:v>
                </c:pt>
                <c:pt idx="19">
                  <c:v>Issuance of vehicle ownership</c:v>
                </c:pt>
                <c:pt idx="20">
                  <c:v>Amendment of vehicle driving licence data</c:v>
                </c:pt>
                <c:pt idx="21">
                  <c:v>Update traffic code</c:v>
                </c:pt>
                <c:pt idx="22">
                  <c:v>Request for licence to possess and use weapons and ammunition (shooting club)</c:v>
                </c:pt>
                <c:pt idx="23">
                  <c:v>Open a traffic file</c:v>
                </c:pt>
                <c:pt idx="24">
                  <c:v>Transfer of vehicle driving licence file from one emirate to another</c:v>
                </c:pt>
                <c:pt idx="25">
                  <c:v>Application status check</c:v>
                </c:pt>
                <c:pt idx="26">
                  <c:v>Renewal of distinguished plate reservation</c:v>
                </c:pt>
                <c:pt idx="27">
                  <c:v>Open report to document an incident</c:v>
                </c:pt>
                <c:pt idx="28">
                  <c:v>To Whom It May Concern certificate for lost documents</c:v>
                </c:pt>
                <c:pt idx="29">
                  <c:v>Replacement of foreign-issued vehicle driving licence</c:v>
                </c:pt>
                <c:pt idx="30">
                  <c:v>Update unified number</c:v>
                </c:pt>
                <c:pt idx="31">
                  <c:v>Verification of financial transactions</c:v>
                </c:pt>
                <c:pt idx="32">
                  <c:v>Change of data in vehicle ownership card</c:v>
                </c:pt>
                <c:pt idx="33">
                  <c:v>Request to renew weapon licence</c:v>
                </c:pt>
                <c:pt idx="34">
                  <c:v>Update phone number</c:v>
                </c:pt>
                <c:pt idx="35">
                  <c:v>Waiver of distinguished plate number</c:v>
                </c:pt>
                <c:pt idx="36">
                  <c:v>Corpse transport permit (police)</c:v>
                </c:pt>
              </c:strCache>
            </c:strRef>
          </c:cat>
          <c:val>
            <c:numRef>
              <c:f>Sheet1!$B$2:$B$38</c:f>
              <c:numCache>
                <c:formatCode>General</c:formatCode>
                <c:ptCount val="37"/>
                <c:pt idx="0">
                  <c:v>426.0</c:v>
                </c:pt>
                <c:pt idx="1">
                  <c:v>180.0</c:v>
                </c:pt>
                <c:pt idx="2">
                  <c:v>145.0</c:v>
                </c:pt>
                <c:pt idx="3">
                  <c:v>89.0</c:v>
                </c:pt>
                <c:pt idx="4">
                  <c:v>36.0</c:v>
                </c:pt>
                <c:pt idx="5">
                  <c:v>24.0</c:v>
                </c:pt>
                <c:pt idx="6">
                  <c:v>22.0</c:v>
                </c:pt>
                <c:pt idx="7">
                  <c:v>20.0</c:v>
                </c:pt>
                <c:pt idx="8">
                  <c:v>15.0</c:v>
                </c:pt>
                <c:pt idx="9">
                  <c:v>13.0</c:v>
                </c:pt>
                <c:pt idx="10">
                  <c:v>13.0</c:v>
                </c:pt>
                <c:pt idx="11">
                  <c:v>10.0</c:v>
                </c:pt>
                <c:pt idx="12">
                  <c:v>8.0</c:v>
                </c:pt>
                <c:pt idx="13">
                  <c:v>8.0</c:v>
                </c:pt>
                <c:pt idx="14">
                  <c:v>6.0</c:v>
                </c:pt>
                <c:pt idx="15">
                  <c:v>6.0</c:v>
                </c:pt>
                <c:pt idx="16">
                  <c:v>5.0</c:v>
                </c:pt>
                <c:pt idx="17">
                  <c:v>4.0</c:v>
                </c:pt>
                <c:pt idx="18">
                  <c:v>4.0</c:v>
                </c:pt>
                <c:pt idx="19">
                  <c:v>4.0</c:v>
                </c:pt>
                <c:pt idx="20">
                  <c:v>4.0</c:v>
                </c:pt>
                <c:pt idx="21">
                  <c:v>3.0</c:v>
                </c:pt>
                <c:pt idx="22">
                  <c:v>3.0</c:v>
                </c:pt>
                <c:pt idx="23">
                  <c:v>3.0</c:v>
                </c:pt>
                <c:pt idx="24">
                  <c:v>3.0</c:v>
                </c:pt>
                <c:pt idx="25">
                  <c:v>2.0</c:v>
                </c:pt>
                <c:pt idx="26">
                  <c:v>2.0</c:v>
                </c:pt>
                <c:pt idx="27">
                  <c:v>2.0</c:v>
                </c:pt>
                <c:pt idx="28">
                  <c:v>2.0</c:v>
                </c:pt>
                <c:pt idx="29">
                  <c:v>2.0</c:v>
                </c:pt>
                <c:pt idx="30">
                  <c:v>1.0</c:v>
                </c:pt>
                <c:pt idx="31">
                  <c:v>1.0</c:v>
                </c:pt>
                <c:pt idx="32">
                  <c:v>1.0</c:v>
                </c:pt>
                <c:pt idx="33">
                  <c:v>1.0</c:v>
                </c:pt>
                <c:pt idx="34">
                  <c:v>1.0</c:v>
                </c:pt>
                <c:pt idx="35">
                  <c:v>1.0</c:v>
                </c:pt>
                <c:pt idx="36">
                  <c:v>1.0</c:v>
                </c:pt>
              </c:numCache>
            </c:numRef>
          </c:val>
        </c:ser>
        <c:axId val="1"/>
        <c:axId val="2"/>
      </c:barChart>
      <c:catAx>
        <c:axId val="1"/>
        <c:scaling>
          <c:orientation val="minMax"/>
        </c:scaling>
        <c:delete val="0"/>
        <c:axPos val="b"/>
        <c:majorTickMark val="out"/>
        <c:minorTickMark val="none"/>
        <c:tickLblPos val="nextTo"/>
        <c:crossAx val="2"/>
        <c:crosses val="autoZero"/>
        <c:auto val="1"/>
        <c:lblAlgn val="ctr"/>
        <c:lblOffset val="100"/>
        <c:noMultiLvlLbl val="0"/>
        <c:txPr>
          <a:bodyPr/>
          <a:lstStyle/>
          <a:p>
            <a:pPr>
              <a:defRPr sz="900"/>
            </a:pPr>
          </a:p>
        </c:txPr>
      </c:catAx>
      <c:valAx>
        <c:axId val="2"/>
        <c:scaling/>
        <c:delete val="0"/>
        <c:axPos val="l"/>
        <c:majorGridlines/>
        <c:majorTickMark val="out"/>
        <c:minorTickMark val="none"/>
        <c:tickLblPos val="nextTo"/>
        <c:crossAx val="1"/>
        <c:crosses val="autoZero"/>
        <c:txPr>
          <a:bodyPr/>
          <a:lstStyle/>
          <a:p>
            <a:pPr>
              <a:defRPr sz="900"/>
            </a:pPr>
          </a:p>
        </c:txPr>
      </c:valAx>
      <c:spPr>
        <a:solidFill>
          <a:srgbClr val="FFFFFF"/>
        </a:solidFill>
      </c:spPr>
    </c:plotArea>
    <c:dispBlanksAs val="gap"/>
    <c:legend>
      <c:legendPos val="b"/>
      <c:overlay val="0"/>
      <c:txPr>
        <a:bodyPr/>
        <a:lstStyle/>
        <a:p>
          <a:pPr>
            <a:defRPr sz="900"/>
          </a:pPr>
        </a:p>
      </c:txPr>
    </c:legend>
    <c:plotVisOnly val="1"/>
  </c:chart>
  <c:txPr>
    <a:bodyPr/>
    <a:lstStyle/>
    <a:p>
      <a:pPr>
        <a:defRPr sz="1800"/>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r>
              <a:rPr lang="ar-SA" sz="1200"/>
              <a:t>Request Closure Within Target Time</a:t>
            </a:r>
          </a:p>
        </c:rich>
      </c:tx>
      <c:overlay val="0"/>
    </c:title>
    <c:plotArea>
      <c:layout/>
      <c:pieChart>
        <c:varyColors val="1"/>
        <c:ser>
          <c:idx val="0"/>
          <c:order val="0"/>
          <c:tx>
            <c:strRef>
              <c:f>Sheet1!$B$1</c:f>
              <c:strCache>
                <c:ptCount val="1"/>
                <c:pt idx="0">
                  <c:v>Request Closure Within Target Time</c:v>
                </c:pt>
              </c:strCache>
            </c:strRef>
          </c:tx>
          <c:dPt>
            <c:idx val="0"/>
            <c:spPr>
              <a:solidFill>
                <a:srgbClr val="B68A35"/>
              </a:solidFill>
            </c:spPr>
          </c:dPt>
          <c:dPt>
            <c:idx val="1"/>
            <c:spPr>
              <a:solidFill>
                <a:srgbClr val="E5E5E5"/>
              </a:solidFill>
            </c:spPr>
          </c:dPt>
          <c:cat>
            <c:strRef>
              <c:f>Sheet1!$A$2:$A$3</c:f>
              <c:strCache>
                <c:ptCount val="2"/>
                <c:pt idx="0">
                  <c:v>Within target time</c:v>
                </c:pt>
                <c:pt idx="1">
                  <c:v>Beyond target time</c:v>
                </c:pt>
              </c:strCache>
            </c:strRef>
          </c:cat>
          <c:val>
            <c:numRef>
              <c:f>Sheet1!$B$2:$B$3</c:f>
              <c:numCache>
                <c:formatCode>General</c:formatCode>
                <c:ptCount val="2"/>
                <c:pt idx="0">
                  <c:v>1048.0</c:v>
                </c:pt>
                <c:pt idx="1">
                  <c:v>33.0</c:v>
                </c:pt>
              </c:numCache>
            </c:numRef>
          </c:val>
          <c:dLbls>
            <c:showVal val="0"/>
            <c:showCatName val="0"/>
            <c:showSerName val="0"/>
            <c:showPercent val="1"/>
            <c:dLblPos val="bestFit"/>
            <c:txPr>
              <a:bodyPr anchor="ctr" anchorCtr="0"/>
              <a:lstStyle/>
              <a:p>
                <a:pPr>
                  <a:defRPr sz="800"/>
                </a:pPr>
              </a:p>
            </c:txPr>
          </c:dLbls>
        </c:ser>
      </c:pieChart>
      <c:spPr>
        <a:solidFill>
          <a:srgbClr val="FFFFFF"/>
        </a:solidFill>
      </c:spPr>
    </c:plotArea>
    <c:dispBlanksAs val="gap"/>
    <c:legend>
      <c:legendPos val="b"/>
      <c:overlay val="0"/>
      <c:txPr>
        <a:bodyPr/>
        <a:lstStyle/>
        <a:p>
          <a:pPr>
            <a:defRPr sz="900"/>
          </a:pPr>
        </a:p>
      </c:txPr>
    </c:legend>
    <c:plotVisOnly val="1"/>
  </c:chart>
  <c:txPr>
    <a:bodyPr/>
    <a:lstStyle/>
    <a:p>
      <a:pPr>
        <a:defRPr sz="1800"/>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r>
              <a:rPr lang="ar-SA" sz="1200"/>
              <a:t>Request Severity</a:t>
            </a:r>
          </a:p>
        </c:rich>
      </c:tx>
      <c:overlay val="0"/>
    </c:title>
    <c:plotArea>
      <c:layout/>
      <c:pieChart>
        <c:varyColors val="1"/>
        <c:ser>
          <c:idx val="0"/>
          <c:order val="0"/>
          <c:tx>
            <c:strRef>
              <c:f>Sheet1!$B$1</c:f>
              <c:strCache>
                <c:ptCount val="1"/>
                <c:pt idx="0">
                  <c:v>Request Severity</c:v>
                </c:pt>
              </c:strCache>
            </c:strRef>
          </c:tx>
          <c:dPt>
            <c:idx val="0"/>
            <c:spPr>
              <a:solidFill>
                <a:srgbClr val="B68A35"/>
              </a:solidFill>
            </c:spPr>
          </c:dPt>
          <c:dPt>
            <c:idx val="1"/>
            <c:spPr>
              <a:solidFill>
                <a:srgbClr val="999999"/>
              </a:solidFill>
            </c:spPr>
          </c:dPt>
          <c:dPt>
            <c:idx val="2"/>
            <c:spPr>
              <a:solidFill>
                <a:srgbClr val="FF0000"/>
              </a:solidFill>
            </c:spPr>
          </c:dPt>
          <c:cat>
            <c:strRef>
              <c:f>Sheet1!$A$2:$A$4</c:f>
              <c:strCache>
                <c:ptCount val="3"/>
                <c:pt idx="0">
                  <c:v>Normal request</c:v>
                </c:pt>
                <c:pt idx="1">
                  <c:v>Urgent request</c:v>
                </c:pt>
                <c:pt idx="2">
                  <c:v>Complex request</c:v>
                </c:pt>
              </c:strCache>
            </c:strRef>
          </c:cat>
          <c:val>
            <c:numRef>
              <c:f>Sheet1!$B$2:$B$4</c:f>
              <c:numCache>
                <c:formatCode>General</c:formatCode>
                <c:ptCount val="3"/>
                <c:pt idx="0">
                  <c:v>1076.0</c:v>
                </c:pt>
                <c:pt idx="1">
                  <c:v>3.0</c:v>
                </c:pt>
                <c:pt idx="2">
                  <c:v>2.0</c:v>
                </c:pt>
              </c:numCache>
            </c:numRef>
          </c:val>
          <c:dLbls>
            <c:showVal val="0"/>
            <c:showCatName val="0"/>
            <c:showSerName val="0"/>
            <c:showPercent val="1"/>
            <c:dLblPos val="bestFit"/>
            <c:txPr>
              <a:bodyPr anchor="ctr" anchorCtr="0"/>
              <a:lstStyle/>
              <a:p>
                <a:pPr>
                  <a:defRPr sz="800"/>
                </a:pPr>
              </a:p>
            </c:txPr>
          </c:dLbls>
        </c:ser>
      </c:pieChart>
      <c:spPr>
        <a:solidFill>
          <a:srgbClr val="FFFFFF"/>
        </a:solidFill>
      </c:spPr>
    </c:plotArea>
    <c:dispBlanksAs val="gap"/>
    <c:legend>
      <c:legendPos val="b"/>
      <c:overlay val="0"/>
      <c:txPr>
        <a:bodyPr/>
        <a:lstStyle/>
        <a:p>
          <a:pPr>
            <a:defRPr sz="900"/>
          </a:pPr>
        </a:p>
      </c:txPr>
    </c:legend>
    <c:plotVisOnly val="1"/>
  </c:chart>
  <c:txPr>
    <a:bodyPr/>
    <a:lstStyle/>
    <a:p>
      <a:pPr>
        <a:defRPr sz="1800"/>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