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bidi w:val="1"/>
        <w:pStyle w:val="Heading1"/>
        <w:spacing w:before="240" w:after="240"/>
        <w:jc w:val="center"/>
      </w:pPr>
      <w:r>
        <w:rPr>
          <w:rFonts w:ascii="Dubai" w:hAnsi="Dubai" w:eastAsia="Dubai" w:cs="Dubai"/>
          <w:b/>
          <w:color w:val="B68A35"/>
          <w:sz w:val="52"/>
          <w:szCs w:val="32"/>
          <w:rtl/>
        </w:rPr>
        <w:t>تقرير تحليل استفسارات المتعاملين — يناير - ديسمبر 2025</w:t>
      </w:r>
      <w:bookmarkStart w:id="1" w:name="_Toc000000001"/>
      <w:bookmarkEnd w:id="1"/>
    </w:p>
    <w:p>
      <w:pPr>
        <w:spacing w:before="160" w:after="160"/>
        <w:pBdr>
          <w:bottom w:val="single" w:sz="12" w:space="4" w:color="B68A35"/>
        </w:pBdr>
      </w:pPr>
    </w:p>
    <w:p>
      <w:pPr>
        <w:spacing w:before="0" w:after="320"/>
      </w:pPr>
    </w:p>
    <w:p>
      <w:pPr>
        <w:bidi w:val="1"/>
        <w:spacing w:after="160"/>
        <w:jc w:val="center"/>
      </w:pPr>
      <w:r>
        <w:rPr>
          <w:rFonts w:ascii="Dubai" w:hAnsi="Dubai" w:eastAsia="Dubai" w:cs="Dubai"/>
          <w:b/>
          <w:i w:val="0"/>
          <w:color w:val="B68A35"/>
          <w:sz w:val="28"/>
          <w:szCs w:val="24"/>
          <w:u w:val="none"/>
          <w:rtl/>
        </w:rPr>
        <w:t>يناير - ديسمبر 2025</w:t>
      </w:r>
    </w:p>
    <w:p>
      <w:pPr>
        <w:spacing w:before="0" w:after="320"/>
      </w:pPr>
    </w:p>
    <w:p>
      <w:pPr>
        <w:bidi w:val="1"/>
        <w:spacing w:after="160"/>
        <w:jc w:val="center"/>
      </w:pPr>
      <w:r>
        <w:rPr>
          <w:rFonts w:ascii="Dubai" w:hAnsi="Dubai" w:eastAsia="Dubai" w:cs="Dubai"/>
          <w:b/>
          <w:i w:val="0"/>
          <w:color w:val="B68A35"/>
          <w:sz w:val="28"/>
          <w:szCs w:val="24"/>
          <w:u w:val="none"/>
          <w:rtl/>
        </w:rPr>
        <w:t>إجمالي الحالات: 50 حالة</w:t>
      </w:r>
    </w:p>
    <w:p>
      <w:pPr>
        <w:bidi w:val="1"/>
        <w:spacing w:after="160"/>
        <w:jc w:val="center"/>
      </w:pPr>
      <w:r>
        <w:rPr>
          <w:rFonts w:ascii="Dubai" w:hAnsi="Dubai" w:eastAsia="Dubai" w:cs="Dubai"/>
          <w:b/>
          <w:i w:val="0"/>
          <w:color w:val="B68A35"/>
          <w:sz w:val="28"/>
          <w:szCs w:val="24"/>
          <w:u w:val="none"/>
          <w:rtl/>
        </w:rPr>
        <w:t>الشكاوى: 56.0% من إجمالي التواصل</w:t>
      </w:r>
    </w:p>
    <w:p>
      <w:pPr>
        <w:bidi w:val="1"/>
        <w:spacing w:after="160"/>
        <w:jc w:val="center"/>
      </w:pPr>
      <w:r>
        <w:rPr>
          <w:rFonts w:ascii="Dubai" w:hAnsi="Dubai" w:eastAsia="Dubai" w:cs="Dubai"/>
          <w:b/>
          <w:i w:val="0"/>
          <w:color w:val="B68A35"/>
          <w:sz w:val="28"/>
          <w:szCs w:val="24"/>
          <w:u w:val="none"/>
          <w:rtl/>
        </w:rPr>
        <w:t>معدل الإغلاق في الوقت المحدد: 98%</w:t>
      </w:r>
    </w:p>
    <w:p>
      <w:pPr>
        <w:spacing w:before="0" w:after="640"/>
      </w:pPr>
    </w:p>
    <w:p>
      <w:pPr>
        <w:bidi w:val="1"/>
        <w:spacing w:after="0"/>
        <w:jc w:val="center"/>
      </w:pPr>
      <w:r>
        <w:rPr>
          <w:rFonts w:ascii="Dubai" w:hAnsi="Dubai" w:eastAsia="Dubai" w:cs="Dubai"/>
          <w:b w:val="0"/>
          <w:i w:val="0"/>
          <w:color w:val="606060"/>
          <w:sz w:val="24"/>
          <w:szCs w:val="24"/>
          <w:u w:val="none"/>
          <w:rtl/>
        </w:rPr>
        <w:t>شرطة الفجيرة  |  2026-05-15  |  تحليل ذكاء الاعمال المتكامل</w:t>
      </w:r>
    </w:p>
    <w:p>
      <w:r>
        <w:br w:type="page"/>
      </w:r>
    </w:p>
    <w:sdt>
      <w:sdtPr>
        <w:docPartObj>
          <w:docPartGallery w:val="Table of Contents"/>
          <w:docPartUnique/>
        </w:docPartObj>
      </w:sdtPr>
      <w:sdtEndPr/>
      <w:sdtContent>
        <w:p>
          <w:pPr>
            <w:pStyle w:val="TOCHeading"/>
          </w:pPr>
          <w:r>
            <w:rPr>
              <w:rFonts w:ascii="Dubai" w:hAnsi="Dubai" w:cs="Dubai"/>
              <w:color w:val="FFFFFF"/>
              <w:rtl/>
            </w:rPr>
            <w:t>المحتويات</w:t>
          </w:r>
        </w:p>
        <w:p>
          <w:pPr>
            <w:pStyle w:val="TOC1"/>
          </w:pPr>
          <w:r>
            <w:fldChar w:fldCharType="begin"/>
          </w:r>
          <w:r>
            <w:instrText xml:space="preserve"> TOC \o "1-3" \h \z \u </w:instrText>
          </w:r>
          <w:r>
            <w:fldChar w:fldCharType="separate"/>
          </w:r>
          <w:hyperlink w:anchor="_Toc000000002" w:history="1">
            <w:r>
              <w:rPr>
                <w:rStyle w:val="Hyperlink"/>
                <w:rFonts w:ascii="Dubai" w:hAnsi="Dubai" w:cs="Dubai"/>
                <w:noProof/>
                <w:rtl/>
              </w:rPr>
              <w:t>أولاً: الملخص التنفيذي — التحليلات الرئيسية</w:t>
            </w:r>
            <w:r>
              <w:rPr>
                <w:noProof/>
                <w:webHidden/>
              </w:rPr>
              <w:tab/>
            </w:r>
            <w:r>
              <w:fldChar w:fldCharType="begin"/>
            </w:r>
            <w:r>
              <w:instrText xml:space="preserve"> PAGEREF _Toc000000002 \h </w:instrText>
            </w:r>
            <w:r>
              <w:rPr>
                <w:noProof/>
                <w:webHidden/>
              </w:rPr>
              <w:fldChar w:fldCharType="separate"/>
            </w:r>
            <w:r>
              <w:rPr>
                <w:noProof/>
                <w:webHidden/>
                <w:rtl/>
              </w:rPr>
              <w:t>1</w:t>
            </w:r>
            <w:r>
              <w:rPr>
                <w:noProof/>
                <w:webHidden/>
              </w:rPr>
              <w:fldChar w:fldCharType="end"/>
            </w:r>
          </w:hyperlink>
        </w:p>
        <w:p>
          <w:pPr>
            <w:pStyle w:val="TOC2"/>
          </w:pPr>
          <w:hyperlink w:anchor="_Toc000000003" w:history="1">
            <w:r>
              <w:rPr>
                <w:rStyle w:val="Hyperlink"/>
                <w:rFonts w:ascii="Dubai" w:hAnsi="Dubai" w:cs="Dubai"/>
                <w:noProof/>
                <w:rtl/>
              </w:rPr>
              <w:t>النتائج الرئيسية</w:t>
            </w:r>
            <w:r>
              <w:rPr>
                <w:noProof/>
                <w:webHidden/>
              </w:rPr>
              <w:tab/>
            </w:r>
            <w:r>
              <w:fldChar w:fldCharType="begin"/>
            </w:r>
            <w:r>
              <w:instrText xml:space="preserve"> PAGEREF _Toc000000003 \h </w:instrText>
            </w:r>
            <w:r>
              <w:rPr>
                <w:noProof/>
                <w:webHidden/>
              </w:rPr>
              <w:fldChar w:fldCharType="separate"/>
            </w:r>
            <w:r>
              <w:rPr>
                <w:noProof/>
                <w:webHidden/>
                <w:rtl/>
              </w:rPr>
              <w:t>1</w:t>
            </w:r>
            <w:r>
              <w:rPr>
                <w:noProof/>
                <w:webHidden/>
              </w:rPr>
              <w:fldChar w:fldCharType="end"/>
            </w:r>
          </w:hyperlink>
        </w:p>
        <w:p>
          <w:pPr>
            <w:pStyle w:val="TOC1"/>
          </w:pPr>
          <w:hyperlink w:anchor="_Toc000000004" w:history="1">
            <w:r>
              <w:rPr>
                <w:rStyle w:val="Hyperlink"/>
                <w:rFonts w:ascii="Dubai" w:hAnsi="Dubai" w:cs="Dubai"/>
                <w:noProof/>
                <w:rtl/>
              </w:rPr>
              <w:t>ثانياً: المنهجية وطبيعة المصادر</w:t>
            </w:r>
            <w:r>
              <w:rPr>
                <w:noProof/>
                <w:webHidden/>
              </w:rPr>
              <w:tab/>
            </w:r>
            <w:r>
              <w:fldChar w:fldCharType="begin"/>
            </w:r>
            <w:r>
              <w:instrText xml:space="preserve"> PAGEREF _Toc000000004 \h </w:instrText>
            </w:r>
            <w:r>
              <w:rPr>
                <w:noProof/>
                <w:webHidden/>
              </w:rPr>
              <w:fldChar w:fldCharType="separate"/>
            </w:r>
            <w:r>
              <w:rPr>
                <w:noProof/>
                <w:webHidden/>
                <w:rtl/>
              </w:rPr>
              <w:t>1</w:t>
            </w:r>
            <w:r>
              <w:rPr>
                <w:noProof/>
                <w:webHidden/>
              </w:rPr>
              <w:fldChar w:fldCharType="end"/>
            </w:r>
          </w:hyperlink>
        </w:p>
        <w:p>
          <w:pPr>
            <w:pStyle w:val="TOC2"/>
          </w:pPr>
          <w:hyperlink w:anchor="_Toc000000005" w:history="1">
            <w:r>
              <w:rPr>
                <w:rStyle w:val="Hyperlink"/>
                <w:rFonts w:ascii="Dubai" w:hAnsi="Dubai" w:cs="Dubai"/>
                <w:noProof/>
                <w:rtl/>
              </w:rPr>
              <w:t>2.1  المصادر المُحلَّلة</w:t>
            </w:r>
            <w:r>
              <w:rPr>
                <w:noProof/>
                <w:webHidden/>
              </w:rPr>
              <w:tab/>
            </w:r>
            <w:r>
              <w:fldChar w:fldCharType="begin"/>
            </w:r>
            <w:r>
              <w:instrText xml:space="preserve"> PAGEREF _Toc000000005 \h </w:instrText>
            </w:r>
            <w:r>
              <w:rPr>
                <w:noProof/>
                <w:webHidden/>
              </w:rPr>
              <w:fldChar w:fldCharType="separate"/>
            </w:r>
            <w:r>
              <w:rPr>
                <w:noProof/>
                <w:webHidden/>
                <w:rtl/>
              </w:rPr>
              <w:t>1</w:t>
            </w:r>
            <w:r>
              <w:rPr>
                <w:noProof/>
                <w:webHidden/>
              </w:rPr>
              <w:fldChar w:fldCharType="end"/>
            </w:r>
          </w:hyperlink>
        </w:p>
        <w:p>
          <w:pPr>
            <w:pStyle w:val="TOC2"/>
          </w:pPr>
          <w:hyperlink w:anchor="_Toc000000006" w:history="1">
            <w:r>
              <w:rPr>
                <w:rStyle w:val="Hyperlink"/>
                <w:rFonts w:ascii="Dubai" w:hAnsi="Dubai" w:cs="Dubai"/>
                <w:noProof/>
                <w:rtl/>
              </w:rPr>
              <w:t>2.2  منهجية التصنيف</w:t>
            </w:r>
            <w:r>
              <w:rPr>
                <w:noProof/>
                <w:webHidden/>
              </w:rPr>
              <w:tab/>
            </w:r>
            <w:r>
              <w:fldChar w:fldCharType="begin"/>
            </w:r>
            <w:r>
              <w:instrText xml:space="preserve"> PAGEREF _Toc000000006 \h </w:instrText>
            </w:r>
            <w:r>
              <w:rPr>
                <w:noProof/>
                <w:webHidden/>
              </w:rPr>
              <w:fldChar w:fldCharType="separate"/>
            </w:r>
            <w:r>
              <w:rPr>
                <w:noProof/>
                <w:webHidden/>
                <w:rtl/>
              </w:rPr>
              <w:t>1</w:t>
            </w:r>
            <w:r>
              <w:rPr>
                <w:noProof/>
                <w:webHidden/>
              </w:rPr>
              <w:fldChar w:fldCharType="end"/>
            </w:r>
          </w:hyperlink>
        </w:p>
        <w:p>
          <w:pPr>
            <w:pStyle w:val="TOC2"/>
          </w:pPr>
          <w:hyperlink w:anchor="_Toc000000007" w:history="1">
            <w:r>
              <w:rPr>
                <w:rStyle w:val="Hyperlink"/>
                <w:rFonts w:ascii="Dubai" w:hAnsi="Dubai" w:cs="Dubai"/>
                <w:noProof/>
                <w:rtl/>
              </w:rPr>
              <w:t>2.3  الحقول المُحلَّلة</w:t>
            </w:r>
            <w:r>
              <w:rPr>
                <w:noProof/>
                <w:webHidden/>
              </w:rPr>
              <w:tab/>
            </w:r>
            <w:r>
              <w:fldChar w:fldCharType="begin"/>
            </w:r>
            <w:r>
              <w:instrText xml:space="preserve"> PAGEREF _Toc000000007 \h </w:instrText>
            </w:r>
            <w:r>
              <w:rPr>
                <w:noProof/>
                <w:webHidden/>
              </w:rPr>
              <w:fldChar w:fldCharType="separate"/>
            </w:r>
            <w:r>
              <w:rPr>
                <w:noProof/>
                <w:webHidden/>
                <w:rtl/>
              </w:rPr>
              <w:t>1</w:t>
            </w:r>
            <w:r>
              <w:rPr>
                <w:noProof/>
                <w:webHidden/>
              </w:rPr>
              <w:fldChar w:fldCharType="end"/>
            </w:r>
          </w:hyperlink>
        </w:p>
        <w:p>
          <w:pPr>
            <w:pStyle w:val="TOC1"/>
          </w:pPr>
          <w:hyperlink w:anchor="_Toc000000008" w:history="1">
            <w:r>
              <w:rPr>
                <w:rStyle w:val="Hyperlink"/>
                <w:rFonts w:ascii="Dubai" w:hAnsi="Dubai" w:cs="Dubai"/>
                <w:noProof/>
                <w:rtl/>
              </w:rPr>
              <w:t>ثالثاً: التحليل الأول — خريطة تصنيف الطلبات</w:t>
            </w:r>
            <w:r>
              <w:rPr>
                <w:noProof/>
                <w:webHidden/>
              </w:rPr>
              <w:tab/>
            </w:r>
            <w:r>
              <w:fldChar w:fldCharType="begin"/>
            </w:r>
            <w:r>
              <w:instrText xml:space="preserve"> PAGEREF _Toc000000008 \h </w:instrText>
            </w:r>
            <w:r>
              <w:rPr>
                <w:noProof/>
                <w:webHidden/>
              </w:rPr>
              <w:fldChar w:fldCharType="separate"/>
            </w:r>
            <w:r>
              <w:rPr>
                <w:noProof/>
                <w:webHidden/>
                <w:rtl/>
              </w:rPr>
              <w:t>1</w:t>
            </w:r>
            <w:r>
              <w:rPr>
                <w:noProof/>
                <w:webHidden/>
              </w:rPr>
              <w:fldChar w:fldCharType="end"/>
            </w:r>
          </w:hyperlink>
        </w:p>
        <w:p>
          <w:pPr>
            <w:pStyle w:val="TOC2"/>
          </w:pPr>
          <w:hyperlink w:anchor="_Toc000000009" w:history="1">
            <w:r>
              <w:rPr>
                <w:rStyle w:val="Hyperlink"/>
                <w:rFonts w:ascii="Dubai" w:hAnsi="Dubai" w:cs="Dubai"/>
                <w:noProof/>
                <w:rtl/>
              </w:rPr>
              <w:t>3.1  التوزيع الفعلي لأنواع التواصل</w:t>
            </w:r>
            <w:r>
              <w:rPr>
                <w:noProof/>
                <w:webHidden/>
              </w:rPr>
              <w:tab/>
            </w:r>
            <w:r>
              <w:fldChar w:fldCharType="begin"/>
            </w:r>
            <w:r>
              <w:instrText xml:space="preserve"> PAGEREF _Toc000000009 \h </w:instrText>
            </w:r>
            <w:r>
              <w:rPr>
                <w:noProof/>
                <w:webHidden/>
              </w:rPr>
              <w:fldChar w:fldCharType="separate"/>
            </w:r>
            <w:r>
              <w:rPr>
                <w:noProof/>
                <w:webHidden/>
                <w:rtl/>
              </w:rPr>
              <w:t>1</w:t>
            </w:r>
            <w:r>
              <w:rPr>
                <w:noProof/>
                <w:webHidden/>
              </w:rPr>
              <w:fldChar w:fldCharType="end"/>
            </w:r>
          </w:hyperlink>
        </w:p>
        <w:p>
          <w:pPr>
            <w:pStyle w:val="TOC2"/>
          </w:pPr>
          <w:hyperlink w:anchor="_Toc000000010" w:history="1">
            <w:r>
              <w:rPr>
                <w:rStyle w:val="Hyperlink"/>
                <w:rFonts w:ascii="Dubai" w:hAnsi="Dubai" w:cs="Dubai"/>
                <w:noProof/>
                <w:rtl/>
              </w:rPr>
              <w:t>3.2  دقة التصنيف — 84.0% من الحالات تم إعادة تصنيفها</w:t>
            </w:r>
            <w:r>
              <w:rPr>
                <w:noProof/>
                <w:webHidden/>
              </w:rPr>
              <w:tab/>
            </w:r>
            <w:r>
              <w:fldChar w:fldCharType="begin"/>
            </w:r>
            <w:r>
              <w:instrText xml:space="preserve"> PAGEREF _Toc000000010 \h </w:instrText>
            </w:r>
            <w:r>
              <w:rPr>
                <w:noProof/>
                <w:webHidden/>
              </w:rPr>
              <w:fldChar w:fldCharType="separate"/>
            </w:r>
            <w:r>
              <w:rPr>
                <w:noProof/>
                <w:webHidden/>
                <w:rtl/>
              </w:rPr>
              <w:t>1</w:t>
            </w:r>
            <w:r>
              <w:rPr>
                <w:noProof/>
                <w:webHidden/>
              </w:rPr>
              <w:fldChar w:fldCharType="end"/>
            </w:r>
          </w:hyperlink>
        </w:p>
        <w:p>
          <w:pPr>
            <w:pStyle w:val="TOC2"/>
          </w:pPr>
          <w:hyperlink w:anchor="_Toc000000011" w:history="1">
            <w:r>
              <w:rPr>
                <w:rStyle w:val="Hyperlink"/>
                <w:rFonts w:ascii="Dubai" w:hAnsi="Dubai" w:cs="Dubai"/>
                <w:noProof/>
                <w:rtl/>
              </w:rPr>
              <w:t>3.3  تفصيل الشكاوى (28 حالة — 56.0%)</w:t>
            </w:r>
            <w:r>
              <w:rPr>
                <w:noProof/>
                <w:webHidden/>
              </w:rPr>
              <w:tab/>
            </w:r>
            <w:r>
              <w:fldChar w:fldCharType="begin"/>
            </w:r>
            <w:r>
              <w:instrText xml:space="preserve"> PAGEREF _Toc000000011 \h </w:instrText>
            </w:r>
            <w:r>
              <w:rPr>
                <w:noProof/>
                <w:webHidden/>
              </w:rPr>
              <w:fldChar w:fldCharType="separate"/>
            </w:r>
            <w:r>
              <w:rPr>
                <w:noProof/>
                <w:webHidden/>
                <w:rtl/>
              </w:rPr>
              <w:t>1</w:t>
            </w:r>
            <w:r>
              <w:rPr>
                <w:noProof/>
                <w:webHidden/>
              </w:rPr>
              <w:fldChar w:fldCharType="end"/>
            </w:r>
          </w:hyperlink>
        </w:p>
        <w:p>
          <w:pPr>
            <w:pStyle w:val="TOC2"/>
          </w:pPr>
          <w:hyperlink w:anchor="_Toc000000012" w:history="1">
            <w:r>
              <w:rPr>
                <w:rStyle w:val="Hyperlink"/>
                <w:rFonts w:ascii="Dubai" w:hAnsi="Dubai" w:cs="Dubai"/>
                <w:noProof/>
                <w:rtl/>
              </w:rPr>
              <w:t>3.4  تفصيل الطلبات والاستفسارات</w:t>
            </w:r>
            <w:r>
              <w:rPr>
                <w:noProof/>
                <w:webHidden/>
              </w:rPr>
              <w:tab/>
            </w:r>
            <w:r>
              <w:fldChar w:fldCharType="begin"/>
            </w:r>
            <w:r>
              <w:instrText xml:space="preserve"> PAGEREF _Toc000000012 \h </w:instrText>
            </w:r>
            <w:r>
              <w:rPr>
                <w:noProof/>
                <w:webHidden/>
              </w:rPr>
              <w:fldChar w:fldCharType="separate"/>
            </w:r>
            <w:r>
              <w:rPr>
                <w:noProof/>
                <w:webHidden/>
                <w:rtl/>
              </w:rPr>
              <w:t>1</w:t>
            </w:r>
            <w:r>
              <w:rPr>
                <w:noProof/>
                <w:webHidden/>
              </w:rPr>
              <w:fldChar w:fldCharType="end"/>
            </w:r>
          </w:hyperlink>
        </w:p>
        <w:p>
          <w:pPr>
            <w:pStyle w:val="TOC2"/>
          </w:pPr>
          <w:hyperlink w:anchor="_Toc000000013" w:history="1">
            <w:r>
              <w:rPr>
                <w:rStyle w:val="Hyperlink"/>
                <w:rFonts w:ascii="Dubai" w:hAnsi="Dubai" w:cs="Dubai"/>
                <w:noProof/>
                <w:rtl/>
              </w:rPr>
              <w:t>3.5  أبرز الاستفسارات المتكررة (8 حالات — 16.0%) — وهي الفئة الأكثر قابليةً للتحويل إلى خدمة ذاتية رقمية كاملة</w:t>
            </w:r>
            <w:r>
              <w:rPr>
                <w:noProof/>
                <w:webHidden/>
              </w:rPr>
              <w:tab/>
            </w:r>
            <w:r>
              <w:fldChar w:fldCharType="begin"/>
            </w:r>
            <w:r>
              <w:instrText xml:space="preserve"> PAGEREF _Toc000000013 \h </w:instrText>
            </w:r>
            <w:r>
              <w:rPr>
                <w:noProof/>
                <w:webHidden/>
              </w:rPr>
              <w:fldChar w:fldCharType="separate"/>
            </w:r>
            <w:r>
              <w:rPr>
                <w:noProof/>
                <w:webHidden/>
                <w:rtl/>
              </w:rPr>
              <w:t>1</w:t>
            </w:r>
            <w:r>
              <w:rPr>
                <w:noProof/>
                <w:webHidden/>
              </w:rPr>
              <w:fldChar w:fldCharType="end"/>
            </w:r>
          </w:hyperlink>
        </w:p>
        <w:p>
          <w:pPr>
            <w:pStyle w:val="TOC1"/>
          </w:pPr>
          <w:hyperlink w:anchor="_Toc000000014" w:history="1">
            <w:r>
              <w:rPr>
                <w:rStyle w:val="Hyperlink"/>
                <w:rFonts w:ascii="Dubai" w:hAnsi="Dubai" w:cs="Dubai"/>
                <w:noProof/>
                <w:rtl/>
              </w:rPr>
              <w:t>رابعاً: التحليل الثاني — التحديات في رحلة المتعامل</w:t>
            </w:r>
            <w:r>
              <w:rPr>
                <w:noProof/>
                <w:webHidden/>
              </w:rPr>
              <w:tab/>
            </w:r>
            <w:r>
              <w:fldChar w:fldCharType="begin"/>
            </w:r>
            <w:r>
              <w:instrText xml:space="preserve"> PAGEREF _Toc000000014 \h </w:instrText>
            </w:r>
            <w:r>
              <w:rPr>
                <w:noProof/>
                <w:webHidden/>
              </w:rPr>
              <w:fldChar w:fldCharType="separate"/>
            </w:r>
            <w:r>
              <w:rPr>
                <w:noProof/>
                <w:webHidden/>
                <w:rtl/>
              </w:rPr>
              <w:t>1</w:t>
            </w:r>
            <w:r>
              <w:rPr>
                <w:noProof/>
                <w:webHidden/>
              </w:rPr>
              <w:fldChar w:fldCharType="end"/>
            </w:r>
          </w:hyperlink>
        </w:p>
        <w:p>
          <w:pPr>
            <w:pStyle w:val="TOC1"/>
          </w:pPr>
          <w:hyperlink w:anchor="_Toc000000015" w:history="1">
            <w:r>
              <w:rPr>
                <w:rStyle w:val="Hyperlink"/>
                <w:rFonts w:ascii="Dubai" w:hAnsi="Dubai" w:cs="Dubai"/>
                <w:noProof/>
                <w:rtl/>
              </w:rPr>
              <w:t>خامساً: التحليل الثالث — تحليل الفجوات الرقمية</w:t>
            </w:r>
            <w:r>
              <w:rPr>
                <w:noProof/>
                <w:webHidden/>
              </w:rPr>
              <w:tab/>
            </w:r>
            <w:r>
              <w:fldChar w:fldCharType="begin"/>
            </w:r>
            <w:r>
              <w:instrText xml:space="preserve"> PAGEREF _Toc000000015 \h </w:instrText>
            </w:r>
            <w:r>
              <w:rPr>
                <w:noProof/>
                <w:webHidden/>
              </w:rPr>
              <w:fldChar w:fldCharType="separate"/>
            </w:r>
            <w:r>
              <w:rPr>
                <w:noProof/>
                <w:webHidden/>
                <w:rtl/>
              </w:rPr>
              <w:t>1</w:t>
            </w:r>
            <w:r>
              <w:rPr>
                <w:noProof/>
                <w:webHidden/>
              </w:rPr>
              <w:fldChar w:fldCharType="end"/>
            </w:r>
          </w:hyperlink>
        </w:p>
        <w:p>
          <w:pPr>
            <w:pStyle w:val="TOC2"/>
          </w:pPr>
          <w:hyperlink w:anchor="_Toc000000016" w:history="1">
            <w:r>
              <w:rPr>
                <w:rStyle w:val="Hyperlink"/>
                <w:rFonts w:ascii="Dubai" w:hAnsi="Dubai" w:cs="Dubai"/>
                <w:noProof/>
                <w:rtl/>
              </w:rPr>
              <w:t>5.1  جدول الفجوات المُدمج</w:t>
            </w:r>
            <w:r>
              <w:rPr>
                <w:noProof/>
                <w:webHidden/>
              </w:rPr>
              <w:tab/>
            </w:r>
            <w:r>
              <w:fldChar w:fldCharType="begin"/>
            </w:r>
            <w:r>
              <w:instrText xml:space="preserve"> PAGEREF _Toc000000016 \h </w:instrText>
            </w:r>
            <w:r>
              <w:rPr>
                <w:noProof/>
                <w:webHidden/>
              </w:rPr>
              <w:fldChar w:fldCharType="separate"/>
            </w:r>
            <w:r>
              <w:rPr>
                <w:noProof/>
                <w:webHidden/>
                <w:rtl/>
              </w:rPr>
              <w:t>1</w:t>
            </w:r>
            <w:r>
              <w:rPr>
                <w:noProof/>
                <w:webHidden/>
              </w:rPr>
              <w:fldChar w:fldCharType="end"/>
            </w:r>
          </w:hyperlink>
        </w:p>
        <w:p>
          <w:pPr>
            <w:pStyle w:val="TOC2"/>
          </w:pPr>
          <w:hyperlink w:anchor="_Toc000000017" w:history="1">
            <w:r>
              <w:rPr>
                <w:rStyle w:val="Hyperlink"/>
                <w:rFonts w:ascii="Dubai" w:hAnsi="Dubai" w:cs="Dubai"/>
                <w:noProof/>
                <w:rtl/>
              </w:rPr>
              <w:t>5.2  الأسباب الجذرية لاستمرار المشكلات</w:t>
            </w:r>
            <w:r>
              <w:rPr>
                <w:noProof/>
                <w:webHidden/>
              </w:rPr>
              <w:tab/>
            </w:r>
            <w:r>
              <w:fldChar w:fldCharType="begin"/>
            </w:r>
            <w:r>
              <w:instrText xml:space="preserve"> PAGEREF _Toc000000017 \h </w:instrText>
            </w:r>
            <w:r>
              <w:rPr>
                <w:noProof/>
                <w:webHidden/>
              </w:rPr>
              <w:fldChar w:fldCharType="separate"/>
            </w:r>
            <w:r>
              <w:rPr>
                <w:noProof/>
                <w:webHidden/>
                <w:rtl/>
              </w:rPr>
              <w:t>1</w:t>
            </w:r>
            <w:r>
              <w:rPr>
                <w:noProof/>
                <w:webHidden/>
              </w:rPr>
              <w:fldChar w:fldCharType="end"/>
            </w:r>
          </w:hyperlink>
        </w:p>
        <w:p>
          <w:pPr>
            <w:pStyle w:val="TOC1"/>
          </w:pPr>
          <w:hyperlink w:anchor="_Toc000000018" w:history="1">
            <w:r>
              <w:rPr>
                <w:rStyle w:val="Hyperlink"/>
                <w:rFonts w:ascii="Dubai" w:hAnsi="Dubai" w:cs="Dubai"/>
                <w:noProof/>
                <w:rtl/>
              </w:rPr>
              <w:t>سادساً: التحليل الرابع — خطة التحويل الرقمي</w:t>
            </w:r>
            <w:r>
              <w:rPr>
                <w:noProof/>
                <w:webHidden/>
              </w:rPr>
              <w:tab/>
            </w:r>
            <w:r>
              <w:fldChar w:fldCharType="begin"/>
            </w:r>
            <w:r>
              <w:instrText xml:space="preserve"> PAGEREF _Toc000000018 \h </w:instrText>
            </w:r>
            <w:r>
              <w:rPr>
                <w:noProof/>
                <w:webHidden/>
              </w:rPr>
              <w:fldChar w:fldCharType="separate"/>
            </w:r>
            <w:r>
              <w:rPr>
                <w:noProof/>
                <w:webHidden/>
                <w:rtl/>
              </w:rPr>
              <w:t>1</w:t>
            </w:r>
            <w:r>
              <w:rPr>
                <w:noProof/>
                <w:webHidden/>
              </w:rPr>
              <w:fldChar w:fldCharType="end"/>
            </w:r>
          </w:hyperlink>
        </w:p>
        <w:p>
          <w:pPr>
            <w:pStyle w:val="TOC2"/>
          </w:pPr>
          <w:hyperlink w:anchor="_Toc000000019" w:history="1">
            <w:r>
              <w:rPr>
                <w:rStyle w:val="Hyperlink"/>
                <w:rFonts w:ascii="Dubai" w:hAnsi="Dubai" w:cs="Dubai"/>
                <w:noProof/>
                <w:rtl/>
              </w:rPr>
              <w:t>6.1  الأسئلة الشائعة ذات الأولوية</w:t>
            </w:r>
            <w:r>
              <w:rPr>
                <w:noProof/>
                <w:webHidden/>
              </w:rPr>
              <w:tab/>
            </w:r>
            <w:r>
              <w:fldChar w:fldCharType="begin"/>
            </w:r>
            <w:r>
              <w:instrText xml:space="preserve"> PAGEREF _Toc000000019 \h </w:instrText>
            </w:r>
            <w:r>
              <w:rPr>
                <w:noProof/>
                <w:webHidden/>
              </w:rPr>
              <w:fldChar w:fldCharType="separate"/>
            </w:r>
            <w:r>
              <w:rPr>
                <w:noProof/>
                <w:webHidden/>
                <w:rtl/>
              </w:rPr>
              <w:t>1</w:t>
            </w:r>
            <w:r>
              <w:rPr>
                <w:noProof/>
                <w:webHidden/>
              </w:rPr>
              <w:fldChar w:fldCharType="end"/>
            </w:r>
          </w:hyperlink>
        </w:p>
        <w:p>
          <w:pPr>
            <w:pStyle w:val="TOC2"/>
          </w:pPr>
          <w:hyperlink w:anchor="_Toc000000020" w:history="1">
            <w:r>
              <w:rPr>
                <w:rStyle w:val="Hyperlink"/>
                <w:rFonts w:ascii="Dubai" w:hAnsi="Dubai" w:cs="Dubai"/>
                <w:noProof/>
                <w:rtl/>
              </w:rPr>
              <w:t>6.2  مسار إلغاء 12+ حالة تواصل بالإشعار الاستباقي</w:t>
            </w:r>
            <w:r>
              <w:rPr>
                <w:noProof/>
                <w:webHidden/>
              </w:rPr>
              <w:tab/>
            </w:r>
            <w:r>
              <w:fldChar w:fldCharType="begin"/>
            </w:r>
            <w:r>
              <w:instrText xml:space="preserve"> PAGEREF _Toc000000020 \h </w:instrText>
            </w:r>
            <w:r>
              <w:rPr>
                <w:noProof/>
                <w:webHidden/>
              </w:rPr>
              <w:fldChar w:fldCharType="separate"/>
            </w:r>
            <w:r>
              <w:rPr>
                <w:noProof/>
                <w:webHidden/>
                <w:rtl/>
              </w:rPr>
              <w:t>1</w:t>
            </w:r>
            <w:r>
              <w:rPr>
                <w:noProof/>
                <w:webHidden/>
              </w:rPr>
              <w:fldChar w:fldCharType="end"/>
            </w:r>
          </w:hyperlink>
        </w:p>
        <w:p>
          <w:pPr>
            <w:pStyle w:val="TOC1"/>
          </w:pPr>
          <w:hyperlink w:anchor="_Toc000000021" w:history="1">
            <w:r>
              <w:rPr>
                <w:rStyle w:val="Hyperlink"/>
                <w:rFonts w:ascii="Dubai" w:hAnsi="Dubai" w:cs="Dubai"/>
                <w:noProof/>
                <w:rtl/>
              </w:rPr>
              <w:t>سابعاً: حالات الاستخدام المدعومة بالذكاء الاصطناعي</w:t>
            </w:r>
            <w:r>
              <w:rPr>
                <w:noProof/>
                <w:webHidden/>
              </w:rPr>
              <w:tab/>
            </w:r>
            <w:r>
              <w:fldChar w:fldCharType="begin"/>
            </w:r>
            <w:r>
              <w:instrText xml:space="preserve"> PAGEREF _Toc000000021 \h </w:instrText>
            </w:r>
            <w:r>
              <w:rPr>
                <w:noProof/>
                <w:webHidden/>
              </w:rPr>
              <w:fldChar w:fldCharType="separate"/>
            </w:r>
            <w:r>
              <w:rPr>
                <w:noProof/>
                <w:webHidden/>
                <w:rtl/>
              </w:rPr>
              <w:t>1</w:t>
            </w:r>
            <w:r>
              <w:rPr>
                <w:noProof/>
                <w:webHidden/>
              </w:rPr>
              <w:fldChar w:fldCharType="end"/>
            </w:r>
          </w:hyperlink>
        </w:p>
        <w:p>
          <w:pPr>
            <w:pStyle w:val="TOC1"/>
          </w:pPr>
          <w:hyperlink w:anchor="_Toc000000022" w:history="1">
            <w:r>
              <w:rPr>
                <w:rStyle w:val="Hyperlink"/>
                <w:rFonts w:ascii="Dubai" w:hAnsi="Dubai" w:cs="Dubai"/>
                <w:noProof/>
                <w:rtl/>
              </w:rPr>
              <w:t>ثامناً: خارطة الطريق التحسينية المقترحة</w:t>
            </w:r>
            <w:r>
              <w:rPr>
                <w:noProof/>
                <w:webHidden/>
              </w:rPr>
              <w:tab/>
            </w:r>
            <w:r>
              <w:fldChar w:fldCharType="begin"/>
            </w:r>
            <w:r>
              <w:instrText xml:space="preserve"> PAGEREF _Toc000000022 \h </w:instrText>
            </w:r>
            <w:r>
              <w:rPr>
                <w:noProof/>
                <w:webHidden/>
              </w:rPr>
              <w:fldChar w:fldCharType="separate"/>
            </w:r>
            <w:r>
              <w:rPr>
                <w:noProof/>
                <w:webHidden/>
                <w:rtl/>
              </w:rPr>
              <w:t>1</w:t>
            </w:r>
            <w:r>
              <w:rPr>
                <w:noProof/>
                <w:webHidden/>
              </w:rPr>
              <w:fldChar w:fldCharType="end"/>
            </w:r>
          </w:hyperlink>
        </w:p>
        <w:p>
          <w:pPr>
            <w:pStyle w:val="TOC1"/>
          </w:pPr>
          <w:hyperlink w:anchor="_Toc000000023" w:history="1">
            <w:r>
              <w:rPr>
                <w:rStyle w:val="Hyperlink"/>
                <w:rFonts w:ascii="Dubai" w:hAnsi="Dubai" w:cs="Dubai"/>
                <w:noProof/>
                <w:rtl/>
              </w:rPr>
              <w:t>تاسعاً: الخلاصة — من البيانات إلى القرار</w:t>
            </w:r>
            <w:r>
              <w:rPr>
                <w:noProof/>
                <w:webHidden/>
              </w:rPr>
              <w:tab/>
            </w:r>
            <w:r>
              <w:fldChar w:fldCharType="begin"/>
            </w:r>
            <w:r>
              <w:instrText xml:space="preserve"> PAGEREF _Toc000000023 \h </w:instrText>
            </w:r>
            <w:r>
              <w:rPr>
                <w:noProof/>
                <w:webHidden/>
              </w:rPr>
              <w:fldChar w:fldCharType="separate"/>
            </w:r>
            <w:r>
              <w:rPr>
                <w:noProof/>
                <w:webHidden/>
                <w:rtl/>
              </w:rPr>
              <w:t>1</w:t>
            </w:r>
            <w:r>
              <w:rPr>
                <w:noProof/>
                <w:webHidden/>
              </w:rPr>
              <w:fldChar w:fldCharType="end"/>
            </w:r>
          </w:hyperlink>
        </w:p>
        <w:p>
          <w:pPr>
            <w:pStyle w:val="TOC2"/>
          </w:pPr>
          <w:hyperlink w:anchor="_Toc000000024" w:history="1">
            <w:r>
              <w:rPr>
                <w:rStyle w:val="Hyperlink"/>
                <w:rFonts w:ascii="Dubai" w:hAnsi="Dubai" w:cs="Dubai"/>
                <w:noProof/>
                <w:rtl/>
              </w:rPr>
              <w:t>المحاور الثلاثة للتحول</w:t>
            </w:r>
            <w:r>
              <w:rPr>
                <w:noProof/>
                <w:webHidden/>
              </w:rPr>
              <w:tab/>
            </w:r>
            <w:r>
              <w:fldChar w:fldCharType="begin"/>
            </w:r>
            <w:r>
              <w:instrText xml:space="preserve"> PAGEREF _Toc000000024 \h </w:instrText>
            </w:r>
            <w:r>
              <w:rPr>
                <w:noProof/>
                <w:webHidden/>
              </w:rPr>
              <w:fldChar w:fldCharType="separate"/>
            </w:r>
            <w:r>
              <w:rPr>
                <w:noProof/>
                <w:webHidden/>
                <w:rtl/>
              </w:rPr>
              <w:t>1</w:t>
            </w:r>
            <w:r>
              <w:rPr>
                <w:noProof/>
                <w:webHidden/>
              </w:rPr>
              <w:fldChar w:fldCharType="end"/>
            </w:r>
          </w:hyperlink>
        </w:p>
        <w:p>
          <w:pPr>
            <w:pStyle w:val="TOC2"/>
          </w:pPr>
          <w:hyperlink w:anchor="_Toc000000025" w:history="1">
            <w:r>
              <w:rPr>
                <w:rStyle w:val="Hyperlink"/>
                <w:rFonts w:ascii="Dubai" w:hAnsi="Dubai" w:cs="Dubai"/>
                <w:noProof/>
                <w:rtl/>
              </w:rPr>
              <w:t>الأثر المجمّع المتوقع:</w:t>
            </w:r>
            <w:r>
              <w:rPr>
                <w:noProof/>
                <w:webHidden/>
              </w:rPr>
              <w:tab/>
            </w:r>
            <w:r>
              <w:fldChar w:fldCharType="begin"/>
            </w:r>
            <w:r>
              <w:instrText xml:space="preserve"> PAGEREF _Toc000000025 \h </w:instrText>
            </w:r>
            <w:r>
              <w:rPr>
                <w:noProof/>
                <w:webHidden/>
              </w:rPr>
              <w:fldChar w:fldCharType="separate"/>
            </w:r>
            <w:r>
              <w:rPr>
                <w:noProof/>
                <w:webHidden/>
                <w:rtl/>
              </w:rPr>
              <w:t>1</w:t>
            </w:r>
            <w:r>
              <w:rPr>
                <w:noProof/>
                <w:webHidden/>
              </w:rPr>
              <w:fldChar w:fldCharType="end"/>
            </w:r>
          </w:hyperlink>
          <w:r>
            <w:fldChar w:fldCharType="end"/>
          </w:r>
        </w:p>
      </w:sdtContent>
    </w:sdt>
    <w:p>
      <w:r>
        <w:br w:type="page"/>
      </w:r>
    </w:p>
    <w:p>
      <w:pPr>
        <w:bidi w:val="1"/>
        <w:pStyle w:val="Heading1"/>
        <w:jc w:val="left"/>
      </w:pPr>
      <w:r>
        <w:rPr>
          <w:rFonts w:ascii="Dubai" w:hAnsi="Dubai" w:eastAsia="Dubai" w:cs="Dubai"/>
          <w:b/>
          <w:color w:val="B68A35"/>
          <w:sz w:val="32"/>
          <w:szCs w:val="32"/>
          <w:rtl/>
        </w:rPr>
        <w:t>أولاً: الملخص التنفيذي — التحليلات الرئيسية</w:t>
      </w:r>
      <w:bookmarkStart w:id="2" w:name="_Toc000000002"/>
      <w:bookmarkEnd w:id="2"/>
    </w:p>
    <w:p>
      <w:pPr>
        <w:bidi w:val="1"/>
        <w:spacing w:after="120"/>
        <w:jc w:val="both"/>
      </w:pPr>
      <w:r>
        <w:rPr>
          <w:rFonts w:ascii="Dubai" w:hAnsi="Dubai" w:eastAsia="Dubai" w:cs="Dubai"/>
          <w:b w:val="0"/>
          <w:i w:val="0"/>
          <w:color w:val="000000"/>
          <w:sz w:val="24"/>
          <w:szCs w:val="24"/>
          <w:u w:val="none"/>
          <w:rtl/>
        </w:rPr>
        <w:t>يُقدّم هذا التقرير تحليلاً معمّقاً لـ 50 حالة استفسار مستخلصة من تصدير نظام إدارة علاقات العملاء، مُدعَّمةً بمرجعية دليل الخدمات والأسئلة الشائعة، وتغطي الفترة الممتدة من يناير إلى ديسمبر 2025، بهدف تحويل البيانات الخام إلى قرارات تشغيلية قابلة للتنفيذ لا مجرد عرض أرقام. المُستجد الجوهري: إعادة التصنيف كشفت أن 84.0% من الحالات كانت مُصنَّفة خطأً، مما أسفر عن إخفاء حقيقة أن الشكاوى تمثل 56.0% من إجمالي عبء العمل الفعلي — وهو خلل هيكلي في فهم طبيعة التفاعلات كان يحجب الأولويات الحقيقية للتحسين.</w:t>
      </w:r>
    </w:p>
    <w:p>
      <w:pPr>
        <w:bidi w:val="1"/>
        <w:pStyle w:val="Heading2"/>
        <w:jc w:val="left"/>
      </w:pPr>
      <w:r>
        <w:rPr>
          <w:rFonts w:ascii="Dubai" w:hAnsi="Dubai" w:eastAsia="Dubai" w:cs="Dubai"/>
          <w:b/>
          <w:color w:val="B68A35"/>
          <w:sz w:val="26"/>
          <w:szCs w:val="26"/>
          <w:rtl/>
        </w:rPr>
        <w:t>النتائج الرئيسية</w:t>
      </w:r>
      <w:bookmarkStart w:id="3" w:name="_Toc000000003"/>
      <w:bookmarkEnd w:id="3"/>
    </w:p>
    <w:p>
      <w:pPr>
        <w:bidi w:val="1"/>
        <w:spacing w:after="120"/>
        <w:jc w:val="both"/>
      </w:pPr>
      <w:r>
        <w:rPr>
          <w:rFonts w:ascii="Dubai" w:hAnsi="Dubai" w:eastAsia="Dubai" w:cs="Dubai"/>
          <w:b w:val="0"/>
          <w:i w:val="0"/>
          <w:color w:val="000000"/>
          <w:sz w:val="24"/>
          <w:szCs w:val="24"/>
          <w:u w:val="none"/>
          <w:rtl/>
        </w:rPr>
        <w:t>الرسالة الجوهرية: إن اجتماع خلل التصنيف البالغ 84.0% مع 7 نقاط احتكاك موثّقة يكشف أن المنظومة تعالج أعراضاً ظاهرة بينما تظل الأسباب الجذرية دون معالجة، وهو ما يُفسّر تحوّل 28 حالة إلى شكاوى فعلية رغم معدل الإغلاق في الوقت المحدد البالغ 98.0%. معالجة هذه الفجوات الهيكلية — لا سيما تفعيل الإشعار الاستباقي في 4 نقاط احتكاك وإصلاح الخلل التقني المرتبط بصور المركبات في إشعارات المخالفات — يُتيح تحويل جزء جوهري من الشكاوى إلى تجارب خدمة سلسة دون الحاجة إلى تدخل بشري. الاستثمار في دقة التصنيف وتكامل الإشعارات الرقمية ليس تحسيناً تشغيلياً فحسب، بل هو أساس استراتيجية مبنية على البيانات تُمكّن القيادة من اتخاذ قرارات استباقية بدلاً من الاستجابة التفاعلية.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مستوى الأهمية</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الاكتشاف</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كانت 42 من 50 حالة مُصنَّفة أصلاً بشكل غير صحيح. تمثل هذه الفجوة أساس التحديات التشغيلية المُكتشفة في هذا التحليل.</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تصنيف غير دقيق بنسبة 84.0%</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28 حالة من 50 كانت شكاوى بعد إعادة التصنيف. . هذا التركيز يعكس محور التحسين الأساسي للعمليات.</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الشكاوى تهيمن بـ 56.0% على عبء العمل</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تؤثر هذه النقطة على 9 حالة (18.0% من الإجمالي). السبب الجذري: خلل تقني في المنصة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نقطة احتكاك واحدة: صورة المركبة في إشعار المخالفة تُظهر مركبة مختلفة أو لوحة غير مطابقة، مما يضطر المتعامل للتواصل يدوياً لتصحيح الخطأ (9 حالة، 18.0%)</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تشترك 3 نقاط احتكاك في سبب جذري مشترك: لا يتلقى المتعامل إشعاراً أو رابط تتبع عند إرسال الملكية أو الرخصة عبر بريد الإمارات، فيتصل بالدعم لمعرفة الحالة, غياب الإشعارات التلقائية عن حالة الطلبات المقدمة يجبر المتعامل على فتح شكاوى متابعة, يقدم المتعامل طلب ترخيص سلاح ولا يتلقى أي تحديث أو ردّ لأشهر طويلة، مما يضطره للتواصل مع الدعم. إجمالي الحالات المتأثرة: 8 حالة. تحسين هذه المجموعة سيسهم بشكل كبير في تقليل الاحتكاكات.</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 نقاط احتكاك — غياب الإشعار الاستباقي (8 حالة)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إيجابية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تم إغلاق 49 من 50 حالة في الوقت المحدد (معدل 98.0%). هذا يثبت القدرة التشغيلية، لكنه لا يعالج الفجوات الهيكلية في الدقة والفهم.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98.0% إغلاق في الوقت المحدد</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r>
    </w:tbl>
    <w:p/>
    <w:p>
      <w:pPr>
        <w:bidi w:val="1"/>
        <w:pStyle w:val="Heading1"/>
        <w:jc w:val="left"/>
      </w:pPr>
      <w:r>
        <w:rPr>
          <w:rFonts w:ascii="Dubai" w:hAnsi="Dubai" w:eastAsia="Dubai" w:cs="Dubai"/>
          <w:b/>
          <w:color w:val="B68A35"/>
          <w:sz w:val="32"/>
          <w:szCs w:val="32"/>
          <w:rtl/>
        </w:rPr>
        <w:t>ثانياً: المنهجية وطبيعة المصادر</w:t>
      </w:r>
      <w:bookmarkStart w:id="4" w:name="_Toc000000004"/>
      <w:bookmarkEnd w:id="4"/>
    </w:p>
    <w:p>
      <w:pPr>
        <w:bidi w:val="1"/>
        <w:pStyle w:val="Heading2"/>
        <w:jc w:val="left"/>
      </w:pPr>
      <w:r>
        <w:rPr>
          <w:rFonts w:ascii="Dubai" w:hAnsi="Dubai" w:eastAsia="Dubai" w:cs="Dubai"/>
          <w:b/>
          <w:color w:val="B68A35"/>
          <w:sz w:val="26"/>
          <w:szCs w:val="26"/>
          <w:rtl/>
        </w:rPr>
        <w:t>2.1  المصادر المُحلَّلة</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الفترة</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الحجم</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الطبيعة</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المصدر</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يناير - ديسمبر 2025</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49 حالة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بيانات CRM — نصوص غير مهيكلة (تفاصيل الحالة، الحلول، أسماء الخدمات، وصف الحالة)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تحليل الاستفسارات</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2025</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160 صفحة، 9 أسئلة مصدقة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يغطي خدمات المرور والترخيص, الخدمات الشرطية, خدمات المؤسسة العقابية والإصلاحية, إدارة العمليات, الخدمات الاستباقية, and 2 more، مع التحقق من الأسئلة الشائعة وتحليل الفجوات</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دليل خدمات العملاء</w:t>
            </w:r>
          </w:p>
        </w:tc>
      </w:tr>
    </w:tbl>
    <w:p/>
    <w:p>
      <w:pPr>
        <w:bidi w:val="1"/>
        <w:pStyle w:val="Heading2"/>
        <w:jc w:val="left"/>
      </w:pPr>
      <w:r>
        <w:rPr>
          <w:rFonts w:ascii="Dubai" w:hAnsi="Dubai" w:eastAsia="Dubai" w:cs="Dubai"/>
          <w:b/>
          <w:color w:val="B68A35"/>
          <w:sz w:val="26"/>
          <w:szCs w:val="26"/>
          <w:rtl/>
        </w:rPr>
        <w:t>2.2  منهجية التصنيف</w:t>
      </w:r>
      <w:bookmarkStart w:id="6" w:name="_Toc000000006"/>
      <w:bookmarkEnd w:id="6"/>
    </w:p>
    <w:p>
      <w:pPr>
        <w:bidi w:val="1"/>
        <w:spacing w:after="120"/>
        <w:jc w:val="both"/>
      </w:pPr>
      <w:r>
        <w:rPr>
          <w:rFonts w:ascii="Dubai" w:hAnsi="Dubai" w:eastAsia="Dubai" w:cs="Dubai"/>
          <w:b w:val="0"/>
          <w:i w:val="0"/>
          <w:color w:val="000000"/>
          <w:sz w:val="24"/>
          <w:szCs w:val="24"/>
          <w:u w:val="none"/>
          <w:rtl/>
        </w:rPr>
        <w:t>يعتمد التحليل على شجرة قرار من أربعة مستويات، حيث طبيعة المطلوب وليس الصياغة هي المعيار الفاصل. يُطرح على كل حالة اختباران متتاليان:</w:t>
      </w:r>
    </w:p>
    <w:p>
      <w:pPr>
        <w:bidi w:val="1"/>
        <w:spacing w:after="120"/>
        <w:jc w:val="both"/>
      </w:pPr>
      <w:r>
        <w:rPr>
          <w:rFonts w:ascii="Dubai" w:hAnsi="Dubai" w:eastAsia="Dubai" w:cs="Dubai"/>
          <w:b w:val="0"/>
          <w:i w:val="0"/>
          <w:color w:val="000000"/>
          <w:sz w:val="24"/>
          <w:szCs w:val="24"/>
          <w:u w:val="none"/>
          <w:rtl/>
        </w:rPr>
        <w:t>(1) الاختبار الأول: هل يُعبّر النص عن استياء، أو إبلاغ عن إخفاق، أو رغبة في تقديم بلاغ رسمي أو اعتراض؟</w:t>
      </w:r>
    </w:p>
    <w:p>
      <w:pPr>
        <w:bidi w:val="1"/>
        <w:spacing w:after="120"/>
        <w:jc w:val="both"/>
      </w:pPr>
      <w:r>
        <w:rPr>
          <w:rFonts w:ascii="Dubai" w:hAnsi="Dubai" w:eastAsia="Dubai" w:cs="Dubai"/>
          <w:b w:val="0"/>
          <w:i w:val="0"/>
          <w:color w:val="000000"/>
          <w:sz w:val="24"/>
          <w:szCs w:val="24"/>
          <w:u w:val="none"/>
          <w:rtl/>
        </w:rPr>
        <w:t>(2) الاختبار الثاني: هل يطلب النص تنفيذ إجراء محدد كتقديم خدمة أو متابعة طلب أو تعديل بيانات، وليس مجرد الحصول على معلومة؟</w:t>
      </w:r>
    </w:p>
    <w:p>
      <w:pPr>
        <w:bidi w:val="1"/>
        <w:spacing w:after="120"/>
        <w:jc w:val="both"/>
      </w:pPr>
      <w:r>
        <w:rPr>
          <w:rFonts w:ascii="Dubai" w:hAnsi="Dubai" w:eastAsia="Dubai" w:cs="Dubai"/>
          <w:b w:val="0"/>
          <w:i w:val="0"/>
          <w:color w:val="000000"/>
          <w:sz w:val="24"/>
          <w:szCs w:val="24"/>
          <w:u w:val="none"/>
          <w:rtl/>
        </w:rPr>
        <w:t>قواعد التصنيف:</w:t>
      </w:r>
    </w:p>
    <w:p>
      <w:pPr>
        <w:bidi w:val="1"/>
        <w:spacing w:after="120"/>
        <w:jc w:val="both"/>
      </w:pPr>
      <w:r>
        <w:rPr>
          <w:rFonts w:ascii="Dubai" w:hAnsi="Dubai" w:eastAsia="Dubai" w:cs="Dubai"/>
          <w:b w:val="0"/>
          <w:i w:val="0"/>
          <w:color w:val="000000"/>
          <w:sz w:val="24"/>
          <w:szCs w:val="24"/>
          <w:u w:val="none"/>
          <w:rtl/>
        </w:rPr>
        <w:t>→ إن كان الجواب نعم على الأول: شكوى (حتى لو تضمّن النص طلباً لاتخاذ إجراء)؛</w:t>
      </w:r>
    </w:p>
    <w:p>
      <w:pPr>
        <w:bidi w:val="1"/>
        <w:spacing w:after="120"/>
        <w:jc w:val="both"/>
      </w:pPr>
      <w:r>
        <w:rPr>
          <w:rFonts w:ascii="Dubai" w:hAnsi="Dubai" w:eastAsia="Dubai" w:cs="Dubai"/>
          <w:b w:val="0"/>
          <w:i w:val="0"/>
          <w:color w:val="000000"/>
          <w:sz w:val="24"/>
          <w:szCs w:val="24"/>
          <w:u w:val="none"/>
          <w:rtl/>
        </w:rPr>
        <w:t>→ إن كان الجواب نعم على الثاني فقط: طلب (دون أن يكون الغرض إبلاغاً عن مشكلة)؛</w:t>
      </w:r>
    </w:p>
    <w:p>
      <w:pPr>
        <w:bidi w:val="1"/>
        <w:spacing w:after="120"/>
        <w:jc w:val="both"/>
      </w:pPr>
      <w:r>
        <w:rPr>
          <w:rFonts w:ascii="Dubai" w:hAnsi="Dubai" w:eastAsia="Dubai" w:cs="Dubai"/>
          <w:b w:val="0"/>
          <w:i w:val="0"/>
          <w:color w:val="000000"/>
          <w:sz w:val="24"/>
          <w:szCs w:val="24"/>
          <w:u w:val="none"/>
          <w:rtl/>
        </w:rPr>
        <w:t>→ إن كان الغرض سؤالاً أو استعلاماً عن معلومة: استفسار؛</w:t>
      </w:r>
    </w:p>
    <w:p>
      <w:pPr>
        <w:bidi w:val="1"/>
        <w:spacing w:after="120"/>
        <w:jc w:val="both"/>
      </w:pPr>
      <w:r>
        <w:rPr>
          <w:rFonts w:ascii="Dubai" w:hAnsi="Dubai" w:eastAsia="Dubai" w:cs="Dubai"/>
          <w:b w:val="0"/>
          <w:i w:val="0"/>
          <w:color w:val="000000"/>
          <w:sz w:val="24"/>
          <w:szCs w:val="24"/>
          <w:u w:val="none"/>
          <w:rtl/>
        </w:rPr>
        <w:t>→ إن كان التعبير عن رضا وثناء: شكر وثناء.</w:t>
      </w:r>
    </w:p>
    <w:p>
      <w:pPr>
        <w:bidi w:val="1"/>
        <w:pStyle w:val="Heading2"/>
        <w:jc w:val="left"/>
      </w:pPr>
      <w:r>
        <w:rPr>
          <w:rFonts w:ascii="Dubai" w:hAnsi="Dubai" w:eastAsia="Dubai" w:cs="Dubai"/>
          <w:b/>
          <w:color w:val="B68A35"/>
          <w:sz w:val="26"/>
          <w:szCs w:val="26"/>
          <w:rtl/>
        </w:rPr>
        <w:t>2.3  الحقول المُحلَّلة</w:t>
      </w:r>
      <w:bookmarkStart w:id="7" w:name="_Toc000000007"/>
      <w:bookmarkEnd w:id="7"/>
    </w:p>
    <w:p>
      <w:pPr>
        <w:bidi w:val="1"/>
        <w:spacing w:after="120"/>
        <w:jc w:val="both"/>
      </w:pPr>
      <w:r>
        <w:rPr>
          <w:rFonts w:ascii="Dubai" w:hAnsi="Dubai" w:eastAsia="Dubai" w:cs="Dubai"/>
          <w:b w:val="0"/>
          <w:i w:val="0"/>
          <w:color w:val="000000"/>
          <w:sz w:val="24"/>
          <w:szCs w:val="24"/>
          <w:u w:val="none"/>
          <w:rtl/>
        </w:rPr>
        <w:t>الحقول المنظمة المستخدمة في التحليل: رقم الطلب، الخدمة الرئيسية، نوع المكالمة الأصلي، حالة الطلب، قناة التواصل، والإدارة المختصة. الحقول غير المنظمة — محور هذا التحليل: تفاصيل الطلب ورد المعالجة. هذان الحقلان يكشفان الطبيعة الحقيقية لكل حالة بعيداً عن التصنيف الشكلي في النظام.</w:t>
      </w:r>
    </w:p>
    <w:p>
      <w:pPr>
        <w:bidi w:val="1"/>
        <w:pStyle w:val="Heading1"/>
        <w:jc w:val="left"/>
      </w:pPr>
      <w:r>
        <w:rPr>
          <w:rFonts w:ascii="Dubai" w:hAnsi="Dubai" w:eastAsia="Dubai" w:cs="Dubai"/>
          <w:b/>
          <w:color w:val="B68A35"/>
          <w:sz w:val="32"/>
          <w:szCs w:val="32"/>
          <w:rtl/>
        </w:rPr>
        <w:t>ثالثاً: التحليل الأول — خريطة تصنيف الطلبات</w:t>
      </w:r>
      <w:bookmarkStart w:id="8" w:name="_Toc000000008"/>
      <w:bookmarkEnd w:id="8"/>
    </w:p>
    <w:p>
      <w:pPr>
        <w:bidi w:val="1"/>
        <w:pStyle w:val="Heading2"/>
        <w:jc w:val="left"/>
      </w:pPr>
      <w:r>
        <w:rPr>
          <w:rFonts w:ascii="Dubai" w:hAnsi="Dubai" w:eastAsia="Dubai" w:cs="Dubai"/>
          <w:b/>
          <w:color w:val="B68A35"/>
          <w:sz w:val="26"/>
          <w:szCs w:val="26"/>
          <w:rtl/>
        </w:rPr>
        <w:t>3.1  التوزيع الفعلي لأنواع التواصل</w:t>
      </w:r>
      <w:bookmarkStart w:id="9" w:name="_Toc000000009"/>
      <w:bookmarkEnd w:id="9"/>
    </w:p>
    <w:p>
      <w:pPr>
        <w:bidi w:val="1"/>
        <w:spacing w:after="120"/>
        <w:jc w:val="both"/>
      </w:pPr>
      <w:r>
        <w:rPr>
          <w:rFonts w:ascii="Dubai" w:hAnsi="Dubai" w:eastAsia="Dubai" w:cs="Dubai"/>
          <w:b w:val="0"/>
          <w:i w:val="0"/>
          <w:color w:val="000000"/>
          <w:sz w:val="24"/>
          <w:szCs w:val="24"/>
          <w:u w:val="none"/>
          <w:rtl/>
        </w:rPr>
        <w:t>تحليل 50 حالة في يناير - ديسمبر 2025 كشف أن التصنيف الدقيق للمضمون الفعلي لكل تواصل يُنتج صورةً مغايرةً تماماً لما يُظهره النظام الأصلي، إذ تتجاوز الفروقات حدود التعديل البسيط لتبلغ مستوى إعادة الهيكلة الكاملة لطبيعة العبء الوظيفي. التحوّل الجوهري: الفئة المهيمنة الحقيقية هي «شكوى» بواقع 28 حالة تمثّل 56.0% من إجمالي التواصل، في مقابل تصنيف أصلي كان يُدرج 50 حالة بالكامل تحت فئة «استفسار» قبل إجراء التصحيح.</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قابلية التحويل الرقمي</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تغيُّر التصنيف</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العدد</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نوع التواصل</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مسار رقمي مختص — بوابة شكاوى / تتبع بلاغ في التطبيق</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+28 (كانت صفراً في الملف الأصلي)</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56.0%</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28</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w:t>
            </w:r>
          </w:p>
        </w:tc>
      </w:tr>
      <w:tr>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يتطلب موظفاً بصلاحية النظام</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+14 (كانت صفراً في الملف الأصلي)</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28.0%</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14</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طلب</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تحويل كامل — روبوت محادثة / أسئلة شائعة / IVR / الموقع الإلكتروني</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−42 عن الأصلي</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16.0%</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8</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r>
      <w:tr>
        <w:tc>
          <w:tcPr>
            <w:tcW w:type="dxa" w:w="1872"/>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توثيق تلقائي — لا يتطلب إجراءً</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بلا تغيير</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0.0%</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0</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شكر وثناء</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bidi w:val="1"/>
        <w:pStyle w:val="Heading2"/>
        <w:jc w:val="left"/>
      </w:pPr>
      <w:r>
        <w:rPr>
          <w:rFonts w:ascii="Dubai" w:hAnsi="Dubai" w:eastAsia="Dubai" w:cs="Dubai"/>
          <w:b/>
          <w:color w:val="B68A35"/>
          <w:sz w:val="26"/>
          <w:szCs w:val="26"/>
          <w:rtl/>
        </w:rPr>
        <w:t>3.2  دقة التصنيف — 84.0% من الحالات تم إعادة تصنيفها</w:t>
      </w:r>
      <w:bookmarkStart w:id="10" w:name="_Toc000000010"/>
      <w:bookmarkEnd w:id="10"/>
    </w:p>
    <w:p>
      <w:pPr>
        <w:bidi w:val="1"/>
        <w:spacing w:after="120"/>
        <w:jc w:val="both"/>
      </w:pPr>
      <w:r>
        <w:rPr>
          <w:rFonts w:ascii="Dubai" w:hAnsi="Dubai" w:eastAsia="Dubai" w:cs="Dubai"/>
          <w:b w:val="0"/>
          <w:i w:val="0"/>
          <w:color w:val="000000"/>
          <w:sz w:val="24"/>
          <w:szCs w:val="24"/>
          <w:u w:val="none"/>
          <w:rtl/>
        </w:rPr>
        <w:t>الاكتشاف الحرج: جميع الحالات الـ 50 من أصل 50 كانت مُسجَّلة في نظام إدارة علاقات العملاء تحت تصنيف «استفسار»، غير أن المراجعة التحليلية الدقيقة لمضمون كل حالة أسفرت عن إعادة تصنيف 42 حالة بنسبة بلغت 84.0%. لا يعكس ذلك خطأً بشرياً في الإدخال، بل يُشير إلى أن تسمية النظام الأصلي تعتمد على قناة الاستقبال أو النية الأولية للتواصل لا على طبيعة المضمون الفعلي للطلب. القائمة الكاملة لـ 42 حالة مع الأدلة متاحة في الملحق الرقمي (ملف Excel المرفق).</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الدليل من تفاصيل الطلب</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التصنيف الصحيح</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مسجَّلة كـ</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رقم الطلب</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"السلام عليكم تم تقديم بلغ بتاريخ 23 / 10 / 2025 ورقم البلغ 2228 عن تعرضي للضرب في مدرسة الديار  في مركز المدينة في الفجيرة والي يومك لم يتم علينا بحجت ان المدرسة لم تراد عليهم ولم يتم الانتهاء من البلغ وتحويله الي النيابه لتكملة البلغ"</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تقديم بلاغ أمني أو مروري</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2025287730</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"لم استلم ملكيه السياره والمشكله رقم الهاتف الخاص بي محدث ولا يتم التواصل مع رقم تلفوني ويتم التواصل برقم آخر رقم اخوي ولم استلم الملكيه السياره"</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210724</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"لم استلام الرخصه  حته هذا الوقت لقد تقدمت بشكىوه في السابق وتحدث معي احد الظباط من الفجيره وتكلام معي حول ان رقم المعامله الذي اتخالته لا ينطبق مع الرقم الشخصي وعند عدم الوصل لك. قم بريد الامارات  برجع الرخصه الي قسم المروره في الفجيره وتم تحديث البيانات وتحدث معي  احد من بريد الامارات وقالي اي غدا  مع العلم ان اخر مكلمه مع مندوب بريد الامارات كانت من اكثر 10ايام وحولت الاتصال بي خدمت العمله وتحدث معي ظبط شرطه  مرتين ولكن لمشكله لم تحل الي هذا الوقت تحدث مع بريد الامارات وقلي لي لايكمن البحث  عن الطرد خصتك لا يمكن البحث عن هذا الرقم ويرسدو رقم الشحن لا تتبع الشحن"</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211093</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"تم تجرير مخالفة سرعة في مدينة الفجيرة يوم ١/١/٢٠٢٥ مع العلم لم أكون متواجد في الفجيرة هذا اليوم وايضاً صورة المخالفة برقم لوحة سيارة غير لوحة سيارتي</w:t>
              <w:br/>
              <w:t>رقم المخالفة: 6250003094</w:t>
              <w:br/>
              <w:t>رقم لوحة سيارتي التي ١١/٧٢٧٣٩</w:t>
              <w:br/>
              <w:t>مرفق صورة الرادار"</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شكوى عن مخالفة مشكوك فيها</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212803</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"This is the third time iam getting fine by mistake for traffic violation. This vehicle shown in this photo is not my vehicle. My vehicle is toyota hiace van fujairah registration 10129 code A. And my vehicle not gone to fujairah during the violation date amd time mentioned. Please do the needful. For same vehicle i got repeated violation within 3 months."</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شكوى عن مخالفة مشكوك فيها</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218314</w:t>
            </w:r>
          </w:p>
        </w:tc>
      </w:tr>
    </w:tbl>
    <w:p/>
    <w:p>
      <w:pPr>
        <w:bidi w:val="1"/>
        <w:pStyle w:val="Heading2"/>
        <w:jc w:val="left"/>
      </w:pPr>
      <w:r>
        <w:rPr>
          <w:rFonts w:ascii="Dubai" w:hAnsi="Dubai" w:eastAsia="Dubai" w:cs="Dubai"/>
          <w:b/>
          <w:color w:val="B68A35"/>
          <w:sz w:val="26"/>
          <w:szCs w:val="26"/>
          <w:rtl/>
        </w:rPr>
        <w:t>3.3  تفصيل الشكاوى (28 حالة — 56.0%)</w:t>
      </w:r>
      <w:bookmarkStart w:id="11" w:name="_Toc000000011"/>
      <w:bookmarkEnd w:id="11"/>
    </w:p>
    <w:p>
      <w:pPr>
        <w:bidi w:val="1"/>
        <w:spacing w:after="120"/>
        <w:jc w:val="both"/>
      </w:pPr>
      <w:r>
        <w:rPr>
          <w:rFonts w:ascii="Dubai" w:hAnsi="Dubai" w:eastAsia="Dubai" w:cs="Dubai"/>
          <w:b w:val="0"/>
          <w:i w:val="0"/>
          <w:color w:val="000000"/>
          <w:sz w:val="24"/>
          <w:szCs w:val="24"/>
          <w:u w:val="none"/>
          <w:rtl/>
        </w:rPr>
        <w:t>تُمثّل الشكاوى الفئة المهيمنة الخفية التي كشفها التحليل الدقيق، وتتمركز بصورة لافتة في المنظومة المرورية والترخيصية حيث تشكّل مخالفات المرور ورخص المركبات المحور الرئيسي للتظلمات المُقدَّمة، وفيما يلي التوزيع التفصيلي لفئاتها الفرعية: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النسبة من الشكاوى</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رصد النظام مخالفات مرورية بأسمائهم بينما كانت مركباتهم خارج الإمارة أو تحمل لوحات لا تطابق سياراتهم، فتقدموا بطعن رسمي مدعوماً بأدلة مادية.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39.3%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عن مخالفة مشكوك فيها</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تعرضوا لحوادث أمنية أو مرورية وتقدموا ببلاغات رسمية لم تُستكمل إجراءاتها أو لم يُحال ملفها إلى الجهات المختصة حتى تاريخ التواصل.</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14.3%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تقديم بلاغ أمني أو مروري</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أتمّوا كامل إجراءات طلب خدمة كاستلام رخصة قيادة أو ملكية مركبة، ولم يستلموا مستنداتهم رغم مرور فترة طويلة وتعدد محاولات المتابعة.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14.3%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عن عدم استلام الخدمة</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يرون أن مخالفات مرورية صدرت بحقهم غير مستحقة أو مبالغ فيها، فتقدموا باعتراض رسمي طالبين إعادة النظر في قرار التغريم.</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14.3%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اعتراض على مخالفة مرورية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واجهوا أخطاء في بيانات النظام كربط معاملاتهم بأرقام هواتف أو هويات غير صحيحة، مما أعاق إتمام خدماتهم ودفعهم للتواصل للإبلاغ عن الخلل.</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7.1%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على خطأ تقني أو في النظام</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 تقدّم بطلب أو بلاغ منذ فترة مطوّلة ولم يُبَتّ فيه حتى تاريخ تواصله، فأبدى تذمّره من التأخر غير المبرر في إنجاز معاملته.</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3.6%</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على تأخر المعالجة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 تواصل مسبقاً مع الجهة المختصة ولم يتلقَّ أي رد أو متابعة على تواصله السابق، فأعاد التقدم شاكياً من انعدام الاستجابة.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3.6%</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على عدم الرد</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 أبدى تظلماً من تجربة سلبية مع خدمة أو إجراء لا يندرج ضمن فئة شكوى محددة، وعبّر عن استيائه العام من الخدمة المقدمة.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3.6%</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عامة</w:t>
            </w:r>
          </w:p>
        </w:tc>
      </w:tr>
    </w:tbl>
    <w:p/>
    <w:p>
      <w:pPr>
        <w:bidi w:val="1"/>
        <w:pStyle w:val="Heading2"/>
        <w:jc w:val="left"/>
      </w:pPr>
      <w:r>
        <w:rPr>
          <w:rFonts w:ascii="Dubai" w:hAnsi="Dubai" w:eastAsia="Dubai" w:cs="Dubai"/>
          <w:b/>
          <w:color w:val="B68A35"/>
          <w:sz w:val="26"/>
          <w:szCs w:val="26"/>
          <w:rtl/>
        </w:rPr>
        <w:t>3.4  تفصيل الطلبات والاستفسارات</w:t>
      </w:r>
      <w:bookmarkStart w:id="12" w:name="_Toc000000012"/>
      <w:bookmarkEnd w:id="12"/>
    </w:p>
    <w:p>
      <w:pPr>
        <w:bidi w:val="1"/>
        <w:spacing w:after="120"/>
        <w:jc w:val="both"/>
      </w:pPr>
      <w:r>
        <w:rPr>
          <w:rFonts w:ascii="Dubai" w:hAnsi="Dubai" w:eastAsia="Dubai" w:cs="Dubai"/>
          <w:b w:val="0"/>
          <w:i w:val="0"/>
          <w:color w:val="000000"/>
          <w:sz w:val="24"/>
          <w:szCs w:val="24"/>
          <w:u w:val="none"/>
          <w:rtl/>
        </w:rPr>
        <w:t>أبرز الطلبات المقدَّمة (14 حالات — 28.0%):</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اكتشفوا أن بياناتهم الشخصية أو المركبية المسجّلة في الأنظمة غير محدّثة أو تحتوي على أخطاء، فتواصلوا طالبين تصحيحها لاستكمال معاملاتهم.</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42.9%</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طلب تعديل أو تحديث بيانات</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سبق لهم تقديم طلبات خدمة عبر القنوات الرسمية ولم يتلقوا تحديثاً بشأن حالتها، فأعادوا التواصل للاستفسار عن مآل طلباتهم المعلّقة.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21.4%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متابعة طلب مقدم</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تقدّموا بطلبات للحصول على تصاريح حمل أسلحة أو تراخيص مرتبطة بها، وتواصلوا لاستيفاء الإجراءات اللازمة أو متابعة سير طلباتهم.</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14.3%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طلب تصريح سلاح أو ترخيص</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يرغبون في تجديد رخص قيادتهم أو وثائق ملكية مركباتهم، وتواصلوا لمعرفة المتطلبات أو لإتمام إجراءات التجديد بصورة مباشرة.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14.3%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طلب تجديد رخصة أو ملكية</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 تقدّم بطلب خدمة لا يندرج ضمن فئة محددة، وطلب مساعدة الجهة في إنجاز إجراء إداري يتطلب تدخّلاً من موظف مختص بصلاحية النظام.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7.1%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خدمة عام</w:t>
            </w:r>
          </w:p>
        </w:tc>
      </w:tr>
    </w:tbl>
    <w:p/>
    <w:p>
      <w:pPr>
        <w:bidi w:val="1"/>
        <w:pStyle w:val="Heading2"/>
        <w:jc w:val="left"/>
      </w:pPr>
      <w:r>
        <w:rPr>
          <w:rFonts w:ascii="Dubai" w:hAnsi="Dubai" w:eastAsia="Dubai" w:cs="Dubai"/>
          <w:b/>
          <w:color w:val="B68A35"/>
          <w:sz w:val="26"/>
          <w:szCs w:val="26"/>
          <w:rtl/>
        </w:rPr>
        <w:t>3.5  أبرز الاستفسارات المتكررة (8 حالات — 16.0%) — وهي الفئة الأكثر قابليةً للتحويل إلى خدمة ذاتية رقمية كاملة</w:t>
      </w:r>
      <w:bookmarkStart w:id="13" w:name="_Toc000000013"/>
      <w:bookmarkEnd w:id="13"/>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تواصلوا للاستفسار عن معلومات عامة تتعلق بخدمات الشرطة أو إجراءاتها دون أن يكون لديهم طلب محدد أو مشكلة تستوجب المتابعة.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50.0%</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 عام</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أرادوا الاستيضاح عن تفاصيل رخص القيادة أو ملكية المركبات كمواعيد الصلاحية ورسوم الاستخراج وآليات الاستعلام الإلكتروني.</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25.0%</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 عن الرخص والمركبات</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 تواصل ليعرف الخطوات الرسمية والوثائق المطلوبة لإتمام معاملة بعينها قبل الشروع في تقديمها عبر القنوات المعتمدة.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12.5%</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 عن الإجراءات والمتطلبات</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 استفسر عن اشتراطات وإجراءات الحصول على ترخيص سلاح أو تجديده، وطلب توضيحاً حول الجهة المختصة والمستندات اللازمة لذلك.</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12.5%</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 عن الأسلحة والتراخيص</w:t>
            </w:r>
          </w:p>
        </w:tc>
      </w:tr>
    </w:tbl>
    <w:p/>
    <w:p>
      <w:pPr>
        <w:bidi w:val="1"/>
        <w:pStyle w:val="Heading1"/>
        <w:jc w:val="left"/>
      </w:pPr>
      <w:r>
        <w:rPr>
          <w:rFonts w:ascii="Dubai" w:hAnsi="Dubai" w:eastAsia="Dubai" w:cs="Dubai"/>
          <w:b/>
          <w:color w:val="B68A35"/>
          <w:sz w:val="32"/>
          <w:szCs w:val="32"/>
          <w:rtl/>
        </w:rPr>
        <w:t>رابعاً: التحليل الثاني — التحديات في رحلة المتعامل</w:t>
      </w:r>
      <w:bookmarkStart w:id="14" w:name="_Toc000000014"/>
      <w:bookmarkEnd w:id="14"/>
    </w:p>
    <w:p>
      <w:pPr>
        <w:bidi w:val="1"/>
        <w:spacing w:after="120"/>
        <w:jc w:val="both"/>
      </w:pPr>
      <w:r>
        <w:rPr>
          <w:rFonts w:ascii="Dubai" w:hAnsi="Dubai" w:eastAsia="Dubai" w:cs="Dubai"/>
          <w:b w:val="0"/>
          <w:i w:val="0"/>
          <w:color w:val="000000"/>
          <w:sz w:val="24"/>
          <w:szCs w:val="24"/>
          <w:u w:val="none"/>
          <w:rtl/>
        </w:rPr>
        <w:t>يكشف التحليل المعمّق للبيانات النصية غير المهيكلة عن 7 نقاط احتكاك رئيسية في رحلة المتعامل، كل منها ينتج عن سبب جذري محدد قابل للمعالجة: النقطة الأكثر حدة هي صورة المركبة في إشعار المخالفة تُظهر مركبة مختلفة أو لوحة غير مطابقة، مما يضطر المتعامل للتواصل يدوياً لتصحيح الخطأ التي تؤثر على 9 حالة (18.0% من الإجمالي). وتبرز ضمن هذه النقاط فرصة تحسين سريعة التنفيذ تتعلق بغياب إشعار حالة تسليم الوثائق عبر البريد والتي تمثّل 8.0% من الحالات، ويمكن معالجتها فورياً بتفعيل إشعار استباقي عبر SMS أو البريد الإلكتروني يتضمن رابط تتبع الشحنة فور إرسال الوثيقة. فيما يلي عرض تفصيلي لجميع نقاط الاحتكاك المرصودة وأسبابها الجذرية والإجراءات التحسينية المقترحة: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الإجراء التحسيني</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نقطة الاحتكاك</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تطوير نظام داخلي للكشف التلقائي عن عدم تطابق اللوحات قبل إرسال إشعارات المخالفات، وإتاحة قناة رقمية لتقديم الاعتراض مع إرفاق الأدلة الصورية دون اشتراط الحضور الشخصي.</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9</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صورة المركبة في إشعار المخالفة تُظهر مركبة مختلفة أو لوحة غير مطابقة، مما يضطر المتعامل للتواصل يدوياً لتصحيح الخطأ</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إجراء تدقيق تقني لمعالجة فجوات التحديث الذاتي في التطبيق، وإنشاء مسار إرشادي داخل التطبيق يوضح الحقول القابلة للتعديل إلكترونياً مع دليل خطوة بخطوة لكل سيناريو.</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معلومات موجودة لكنها صعبة الوصول</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لا تتيح المنظومة تحديث رقم الهاتف أو بيانات الهوية أو صورة الرخصة ذاتياً، فيضطر المتعامل للتواصل مع الدعم لإتمام التحديث</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تطبيق إشعارات آلية عبر SMS أو البريد الإلكتروني تُرسل رابط تتبع بريد الإمارات فور طباعة الوثيقة وإرسالها، مع تضمين المدة التقديرية للتوصيل لكل إمارة.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لا يتلقى المتعامل إشعاراً أو رابط تتبع عند إرسال الملكية أو الرخصة عبر بريد الإمارات، فيتصل بالدعم لمعرفة الحالة</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إنشاء قسم أسئلة شائعة مخصص بعنوان «حدود السرعة وقواعد المخالفات في الفجيرة» يوضح الحدود المعتمدة وهامش التسامح الرسمي، ونشره بشكل بارز على التطبيق والموقع وفي حملات توعية استباقية.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يعترض المتعامل على مخالفات مرورية بسبب عدم وضوح الحد المسموح به أو اعتقاده بوجود هامش تسامح مختلف، مما يولّد حالات اعتراض متكررة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تطبيق نظام تتبع حالة الطلبات في الوقت الفعلي مع إشعارات SMS وبريد إلكتروني عند كل مرحلة معالجة، وإضافة محفزات تصعيد تلقائية عند تجاوز المدد المحددة دون تحديث.</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الإشعارات التلقائية عن حالة الطلبات المقدمة يجبر المتعامل على فتح شكاوى متابعة</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ربط نظام الدفع بآلية استرداد تلقائي عند فشل تأكيد الخدمة، وإضافة نموذج رقمي لطلب الاسترداد في التطبيق مع سجل معاملات شفاف يتيح للمتعامل متابعة حالة الدفع.</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يتعرض المتعامل لخصم الرسوم مرتين دون إتمام الخدمة، أو لعدم القدرة على التسجيل رغم استيفاء الشروط، بسبب أعطال في المنظومة</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إضافة خدمة «طلب ترخيص سلاح» كاملة في الدليل الإجرائي مع تطبيق إشعارات SMS مرتبطة بمراحل المعالجة، وإنشاء بوابة إلكترونية آمنة عبر UAE Pass للاطلاع على حالة الطلب.</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يقدم المتعامل طلب ترخيص سلاح ولا يتلقى أي تحديث أو ردّ لأشهر طويلة، مما يضطره للتواصل مع الدعم</w:t>
            </w:r>
          </w:p>
        </w:tc>
      </w:tr>
    </w:tbl>
    <w:p/>
    <w:p>
      <w:pPr>
        <w:bidi w:val="1"/>
        <w:pStyle w:val="Heading1"/>
        <w:jc w:val="left"/>
      </w:pPr>
      <w:r>
        <w:rPr>
          <w:rFonts w:ascii="Dubai" w:hAnsi="Dubai" w:eastAsia="Dubai" w:cs="Dubai"/>
          <w:b/>
          <w:color w:val="B68A35"/>
          <w:sz w:val="32"/>
          <w:szCs w:val="32"/>
          <w:rtl/>
        </w:rPr>
        <w:t>خامساً: التحليل الثالث — تحليل الفجوات الرقمية</w:t>
      </w:r>
      <w:bookmarkStart w:id="15" w:name="_Toc000000015"/>
      <w:bookmarkEnd w:id="15"/>
    </w:p>
    <w:p>
      <w:pPr>
        <w:bidi w:val="1"/>
        <w:spacing w:after="120"/>
        <w:jc w:val="both"/>
      </w:pPr>
      <w:r>
        <w:rPr>
          <w:rFonts w:ascii="Dubai" w:hAnsi="Dubai" w:eastAsia="Dubai" w:cs="Dubai"/>
          <w:b w:val="0"/>
          <w:i w:val="0"/>
          <w:color w:val="000000"/>
          <w:sz w:val="24"/>
          <w:szCs w:val="24"/>
          <w:u w:val="none"/>
          <w:rtl/>
        </w:rPr>
        <w:t>لماذا تستمر المشكلات رغم توفر التطبيق والموقع الإلكتروني؟ تكشف البيانات أن 94.0% من الحالات وُجِّهت عبر القنوات الرقمية (تطبيق/موقع)، وأن 86.2% من الحالات نشأت في سياق رقمي (التطبيق / الموقع)، مما يؤكد أن التحدي لا يكمن في غياب هذه القنوات بل في غياب الوظائف الصحيحة داخلها؛ إذ رُصدت 5 فجوات حرجة و2 فجوات عالية الشدة، أبرزها فجوة «مخالفات مرورية مشكوك في صحتها — صورة المركبة في إشعار المخالفة تُظهر مركبة مختلفة أو لوحة غير مطابقة» بـ11 حالة، فيما يمكن تحويل 10 حالة (20.0% من الإجمالي) عبر إشعار SMS/بريد إلكتروني استباقي دون أي تغيير في البنية التحتية.</w:t>
      </w:r>
    </w:p>
    <w:p>
      <w:pPr>
        <w:bidi w:val="1"/>
        <w:pStyle w:val="Heading2"/>
        <w:jc w:val="left"/>
      </w:pPr>
      <w:r>
        <w:rPr>
          <w:rFonts w:ascii="Dubai" w:hAnsi="Dubai" w:eastAsia="Dubai" w:cs="Dubai"/>
          <w:b/>
          <w:color w:val="B68A35"/>
          <w:sz w:val="26"/>
          <w:szCs w:val="26"/>
          <w:rtl/>
        </w:rPr>
        <w:t>5.1  جدول الفجوات المُدمج</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نوع الفجوة</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وضع التطبيق / الموقع الحالي</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الشدّة</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الموضوع</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أنشئ قناة رقمية للاعتراض على المخالفات وأضف أسئلة شائعة عن خطأ صور الأدلة، وطوّر نظاماً للكشف التلقائي عن عدم تطابق اللوحات قبل إرسال إشعارات المخالفات.</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محتوى مفقود + غياب قناة رقمية للاعتراض</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يتيح الدليل خدمة الاعتراض على الضبط المروري عبر مراكز الخدمة فقط، ولا توجد قناة رقمية لتقديم الاعتراض أو إرفاق أدلة صورية تُثبت عدم تطابق اللوحة.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11</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مخالفات مرورية مشكوك في صحتها — صورة المركبة في إشعار المخالفة تُظهر مركبة مختلفة أو لوحة غير مطابقة</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أجرِ تدقيقاً تقنياً لمعالجة فجوات التحديث الذاتي في التطبيق، وحدّث الدليل بتوضيح أي البيانات تُعدَّل إلكترونياً وأيها يستلزم الحضور، مع دليل خطوة بخطوة ولقطات شاشة توضيحية.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معلومات غير واضحة + فجوة وظيفية في المنصة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يدعم تطبيق MOI والموقع تعديل بيانات الرخصة وبطاقة الملكية نظرياً برسوم 100 درهم، غير أن حقولاً أساسية كرقم الهاتف وصورة الرخصة لا يمكن تحديثها ذاتياً مما يضطر المتعامل للتواصل مع الدعم.</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تحديث البيانات في منظومة المرور — عدم قدرة المتعامل على تحديث بياناته ذاتياً عبر التطبيق</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يتضمن رابط تتبع فور إرسال الوثائق، وأضف خدمة استعلام ذاتية عن حالة التوصيل في التطبيق مع المدة التقديرية لكل إمارة.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الإشعار الاستباقي + معلومات التتبع مفقودة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يُذكر التوصيل عبر شركة التوصيل كخيار اختياري في خطوات مراكز الخدمة، لكن لا يوجد إشعار آلي برابط تتبع ولا استعلام ذاتي عن حالة التوصيل داخل التطبيق أو الموقع.</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عدم استلام وثائق المركبة أو الرخصة — لا يتلقى المتعامل إشعاراً أو رابط تتبع عند إرسال الوثائق عبر البريد</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أنشئ قسم أسئلة شائعة يوضح حدود السرعة وهامش التسامح وآلية احتساب المخالفة في الفجيرة، وانشره بارزاً في التطبيق والموقع ومراكز الخدمة.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محتوى مفقود + غياب المعلومات التنظيمية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لا يتضمن الدليل أي محتوى يوضح حدود السرعة في الفجيرة أو هامش التسامح أو آلية احتساب المخالفة؛ الخدمة المتاحة إجرائية فقط دون أي محتوى توعوي.</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اعتراض على مخالفات مرورية — عدم وضوح أسباب المخالفة أو معيار السرعة المعتمد في إمارة الفجيرة</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عند كل مرحلة معالجة، وأضف خاصية تتبع الطلب في التطبيق، مع محفزات تصعيد تلقائية عند تجاوز مستوى الخدمة المحدد.</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الإشعار الاستباقي + محتوى مفقود</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يقتصر الدليل الإجرائي على وصف خطوات التقديم فقط دون أي ذكر لآلية إشعار المتعامل بعد التقديم أو تتبع حالة الطلب في التطبيق أو الموقع.</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متابعة طلبات مقدمة بدون تحديث للحالة — لا يتلقى المتعامل تحديثاً تلقائياً لحالة طلبه</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عند خصم الرسوم مع استرداد فوري آلي عند فشل التأكيد، وأضف نموذجاً رقمياً للاسترداد وأسئلة شائعة واضحة لحالات الخصم المزدوج.</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محتوى مفقود + خلل في المنصة + غياب آلية استرداد ذاتية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تتوفر خدمة استرجاع قيمة المخالفات عبر مراكز الخدمة فقط، ولا يوجد نموذج رقمي لطلب الاسترداد ولا آلية استرداد تلقائي عند فشل إتمام المعاملة في التطبيق أو الموقع.</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أخطاء تقنية في إتمام المعاملات ودفع الرسوم — خصم الرسوم أكثر من مرة أو تعذّر إتمام التسجيل</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لكل مرحلة في معالجة طلب ترخيص السلاح، وأضف الخدمة كاملة في الدليل مع بوابة آمنة عبر UAE Pass لتتبع الطلبات الحساسة.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محتوى مفقود بالكامل + غياب الإشعار الاستباقي</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لا توجد خدمة ترخيص أسلحة مذكورة في الدليل الإجرائي، ولا أي محتوى يتعلق بشروط الأهلية أو مدد المعالجة أو آليات الإشعار في التطبيق أو الموقع.</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تأخر البت في طلبات تراخيص الأسلحة — لا يتلقى المتعامل أي إشعار بحالة الطلب</w:t>
            </w:r>
          </w:p>
        </w:tc>
      </w:tr>
    </w:tbl>
    <w:p/>
    <w:p>
      <w:pPr>
        <w:bidi w:val="1"/>
        <w:pStyle w:val="Heading2"/>
        <w:jc w:val="left"/>
      </w:pPr>
      <w:r>
        <w:rPr>
          <w:rFonts w:ascii="Dubai" w:hAnsi="Dubai" w:eastAsia="Dubai" w:cs="Dubai"/>
          <w:b/>
          <w:color w:val="B68A35"/>
          <w:sz w:val="26"/>
          <w:szCs w:val="26"/>
          <w:rtl/>
        </w:rPr>
        <w:t>5.2  الأسباب الجذرية لاستمرار المشكلات</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الحل</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مثال على التحدي</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طوّر نظاماً داخلياً للكشف التلقائي عن عدم تطابق اللوحات قبل إصدار إشعارات المخالفات، وأنشئ قناة رقمية لتقديم الاعتراض مع إرفاق الأدلة الصورية.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11 حالة — صورة المركبة في إشعار المخالفة تُظهر مركبة مختلفة أو لوحة غير مطابقة، مما يضطر المتعامل للتواصل يدوياً لتصحيح الخطأ</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آلية إبلاغ تقني منظمة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فعّل إشعارات SMS/بريد إلكتروني تلقائية برابط تتبع فور إرسال الوثائق، وأضف استعلاماً ذاتياً عن التوصيل داخل التطبيق.</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8 حالة — لا يتلقى المتعامل إشعاراً أو رابط تتبع عند إرسال الملكية أو الرخصة عبر بريد الإمارات، فيتصل بالدعم لمعرفة الحالة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ضعف الإشعار الاستباقي</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عالج الفجوات الوظيفية في التطبيق وحدّث الدليل بتوضيح ما يمكن تعديله إلكترونياً مع دليل خطوة بخطوة ولقطات شاشة توضيحية.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6 حالة — لا تتيح المنظومة تحديث رقم الهاتف أو بيانات الهوية أو صورة الرخصة ذاتياً، فيضطر المتعامل للتواصل مع الدعم لإتمام التحديث</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ضعف التوعية بالقنوات الرقمية المتاحة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أنشئ مساراً رقمياً للاعتراض وانشر محتوى توعوياً واضحاً عن حدود السرعة وهامش التسامح في التطبيق والموقع.</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 حالة — يعترض المتعامل على مخالفات مرورية بسبب عدم وضوح الحد المسموح به أو اعتقاده بوجود هامش تسامح مختلف، مما يولّد حالات اعتراض متكررة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مسار رقمي مخصص</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r>
    </w:tbl>
    <w:p/>
    <w:p>
      <w:pPr>
        <w:bidi w:val="1"/>
        <w:pStyle w:val="Heading1"/>
        <w:jc w:val="left"/>
      </w:pPr>
      <w:r>
        <w:rPr>
          <w:rFonts w:ascii="Dubai" w:hAnsi="Dubai" w:eastAsia="Dubai" w:cs="Dubai"/>
          <w:b/>
          <w:color w:val="B68A35"/>
          <w:sz w:val="32"/>
          <w:szCs w:val="32"/>
          <w:rtl/>
        </w:rPr>
        <w:t>سادساً: التحليل الرابع — خطة التحويل الرقمي</w:t>
      </w:r>
      <w:bookmarkStart w:id="18" w:name="_Toc000000018"/>
      <w:bookmarkEnd w:id="18"/>
    </w:p>
    <w:p>
      <w:pPr>
        <w:bidi w:val="1"/>
        <w:spacing w:after="120"/>
        <w:jc w:val="both"/>
      </w:pPr>
      <w:r>
        <w:rPr>
          <w:rFonts w:ascii="Dubai" w:hAnsi="Dubai" w:eastAsia="Dubai" w:cs="Dubai"/>
          <w:b w:val="0"/>
          <w:i w:val="0"/>
          <w:color w:val="000000"/>
          <w:sz w:val="24"/>
          <w:szCs w:val="24"/>
          <w:u w:val="none"/>
          <w:rtl/>
        </w:rPr>
        <w:t>يستعرض هذا القسم سبعة أسئلة شائعة ذات أولوية، مستخرجة من الأنماط الأكثر تكراراً في البيانات النصية للفترة من يناير إلى ديسمبر 2025، إلى جانب مسار إشعارات استباقية مقترح لتحسين تجربة المتعامل. وتشير البيانات إلى إمكانية تجنّب ما لا يقل عن 12 حالة تواصل تمثّل 24.0% من إجمالي الحالات البالغة 50 حالة، وذلك بتطبيق منظومة إشعارات آلية بسيطة دون الحاجة إلى أي تغيير هيكلي.</w:t>
      </w:r>
    </w:p>
    <w:p>
      <w:pPr>
        <w:bidi w:val="1"/>
        <w:pStyle w:val="Heading2"/>
        <w:jc w:val="left"/>
      </w:pPr>
      <w:r>
        <w:rPr>
          <w:rFonts w:ascii="Dubai" w:hAnsi="Dubai" w:eastAsia="Dubai" w:cs="Dubai"/>
          <w:b/>
          <w:color w:val="B68A35"/>
          <w:sz w:val="26"/>
          <w:szCs w:val="26"/>
          <w:rtl/>
        </w:rPr>
        <w:t>6.1  الأسئلة الشائعة ذات الأولوية</w:t>
      </w:r>
      <w:bookmarkStart w:id="19" w:name="_Toc000000019"/>
      <w:bookmarkEnd w:id="19"/>
    </w:p>
    <w:p>
      <w:pPr>
        <w:bidi w:val="1"/>
        <w:spacing w:after="120"/>
        <w:jc w:val="both"/>
      </w:pPr>
      <w:r>
        <w:rPr>
          <w:rFonts w:ascii="Dubai" w:hAnsi="Dubai" w:eastAsia="Dubai" w:cs="Dubai"/>
          <w:b w:val="0"/>
          <w:i w:val="0"/>
          <w:color w:val="000000"/>
          <w:sz w:val="24"/>
          <w:szCs w:val="24"/>
          <w:u w:val="none"/>
          <w:rtl/>
        </w:rPr>
        <w:t>هذه الأسئلة مستخرجة من الأنماط الأكثر تكراراً في البيانات النصية.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التكرار</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الإجابة المقترحة</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السؤال</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9</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افتح تطبيق MOI وراجع صورة المخالفة. إذا أظهرت الصورة مركبة أو لوحة مختلفة عن مركبتك، أو كنت خارج الفجيرة يوم المخالفة، قدّم شكوى عبر القنوات الرسمية مرفقاً بها صورة مركبتك ومستندات تثبت تنقلاتك. ستتولى الجهة المختصة التدقيق وإبلاغك بالنتيجة.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كيف أتحقق من أن المخالفة المرورية المسجلة باسمي تعود فعلاً لمركبتي؟</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تواصل مع شرطة الفجيرة مباشرةً أو راجع الإدارة المختصة لتقديم طلب اعتراض رسمي. إذا ثبتت صحة المخالفة وأردت طلب تخفيض، قدّم طلباً كتابياً للإدارة المعنية. تجدر الإشارة إلى أن حدود السرعة في الفجيرة قد تختلف عن باقي الإمارات ولا يُطبَّق هامش تسامح موحد.</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كيف أتقدم باعتراض رسمي على مخالفة مرورية في إمارة الفجيرة؟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حاول أولاً تحديث بياناتك ذاتياً عبر تطبيق MOI. إن لم يكن ذلك متاحاً، راجع شرطة الفجيرة شخصياً مصطحباً مستنداتك الداعمة (الهوية الإماراتية، جواز السفر، الإقامة)، وسيتولى الموظف المختص تحديث البيانات في المنظومة المرورية نيابةً عنك.</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كيف أحدّث رقم هاتفي أو بياناتي الشخصية في منظومة المرور؟</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تُرسَل وثيقة الملكية عبر بريد الإمارات إلى العنوان المسجّل. في حال عدم الاستلام، تواصل مع شرطة الفجيرة وأخبرهم برقم طلبك وعنوان التوصيل الكامل، وسيتم التنسيق لإعادة الطباعة وإعادة الإرسال في أقرب وقت.</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طلبت طباعة ملكية مركبتي ودفعت الرسوم لكنها لم تصلني، ماذا أفعل؟</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تصدر قرارات تراخيص الأسلحة عن اللجنة المختصة في مديرية الأسلحة والمتفجرات بوزارة الداخلية، وهي الجهة الوحيدة المخوّلة بالموافقة أو الرفض. تواصل مع شرطة الفجيرة مزوّداً إياهم برقم طلبك، وسيتولون التنسيق مع الجهة المعنية لمتابعة حالة طلبك وإبلاغك بآخر المستجدات.</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تقدمت بطلب ترخيص سلاح منذ فترة طويلة ولم يُبَتّ فيه، كيف أتابع طلبي؟</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5</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غالباً يكون التأخير ناتجاً عن عدم تحديث الصورة الشخصية في النظام؛ يُرسَل SMS لطلب تحديثها وقد يُغفل عنه. افتح تطبيق MOI وتأكد من تحديث صورتك الشخصية. إن استمر التأخير بعد ذلك، تواصل مع شرطة الفجيرة مع ذكر رقم طلبك لمتابعة الحالة.</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جدّدت رخصة قيادتي عبر تطبيق MOI لكنها لم تصلني بعد مرور أشهر، ما السبب؟</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6</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تواصل مع شرطة الفجيرة وأرفق ما يثبت الدفع المكرر (كشف حساب مصرفي أو لقطة شاشة تُظهر العمليتين). سيتحقق الموظف المختص من المعاملة في النظام، وبعد التأكد سيتم تسوية السجل المالي واسترداد المبلغ المدفوع مرتين إلى حسابك.</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دفعت رسوم معاملة مرورية مرتين بسبب خطأ في التطبيق، كيف أسترد المبلغ المدفوع زيادةً؟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7</w:t>
            </w:r>
          </w:p>
        </w:tc>
      </w:tr>
    </w:tbl>
    <w:p/>
    <w:p>
      <w:pPr>
        <w:bidi w:val="1"/>
        <w:pStyle w:val="Heading2"/>
        <w:jc w:val="left"/>
      </w:pPr>
      <w:r>
        <w:rPr>
          <w:rFonts w:ascii="Dubai" w:hAnsi="Dubai" w:eastAsia="Dubai" w:cs="Dubai"/>
          <w:b/>
          <w:color w:val="B68A35"/>
          <w:sz w:val="26"/>
          <w:szCs w:val="26"/>
          <w:rtl/>
        </w:rPr>
        <w:t>6.2  مسار إلغاء 12+ حالة تواصل بالإشعار الاستباقي</w:t>
      </w:r>
      <w:bookmarkStart w:id="20" w:name="_Toc000000020"/>
      <w:bookmarkEnd w:id="20"/>
    </w:p>
    <w:p>
      <w:pPr>
        <w:bidi w:val="1"/>
        <w:spacing w:after="120"/>
        <w:jc w:val="both"/>
      </w:pPr>
      <w:r>
        <w:rPr>
          <w:rFonts w:ascii="Dubai" w:hAnsi="Dubai" w:eastAsia="Dubai" w:cs="Dubai"/>
          <w:b w:val="0"/>
          <w:i w:val="0"/>
          <w:color w:val="000000"/>
          <w:sz w:val="24"/>
          <w:szCs w:val="24"/>
          <w:u w:val="none"/>
          <w:rtl/>
        </w:rPr>
        <w:t>تحليل البيانات يكشف أن 12+ حالة تواصل (24% من الإجمالي) كان يمكن إلغاؤها كلياً بمنظومة إشعارات بسيطة — دون أي تغيير هيكلي في الأنظمة أو الإجراءات:</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القناة</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محتوى الإشعار (مثال)</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الحالات المُلغاة</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نوع الإشعار</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تجنّب 4 حالات تواصل غير ضرورية وتقليل استفسارات التسليم بشكل ملحوظ.</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SMS / بريد إلكتروني</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«شرطة الفجيرة: تم إرسال وثيقتك [X] عبر بريد الإمارات بتاريخ [X]. تتبّع شحنتك عبر الرابط: [X]»</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 حالات</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إشعار حالة تسليم الوثائق عبر البريد</w:t>
            </w:r>
          </w:p>
        </w:tc>
      </w:tr>
      <w:tr>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تجنّب 3 حالات متابعة وتعزيز ثقة المتعامل بشفافية مراحل معالجة الطلب.</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SMS / بريد إلكتروني</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«شرطة الفجيرة: طلب ترخيص السلاح رقم [X] قيد المراجعة حالياً. سيتم إشعارك فور صدور القرار.»</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 حالات</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تحديث دوري لحالة طلبات تراخيص الأسلحة</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تجنّب 3 حالات استفسار عن المستجدات وتحسين تجربة المتعامل الرقمية.</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SMS / إشعار تطبيق MOI</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«شرطة الفجيرة: تم تحديث حالة طلبك رقم [X] إلى [X]. لمزيد من التفاصيل افتح تطبيق MOI.»</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 حالات</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إشعار تحديث حالة الطلبات المقدمة عموماً</w:t>
            </w:r>
          </w:p>
        </w:tc>
      </w:tr>
      <w:tr>
        <w:tc>
          <w:tcPr>
            <w:tcW w:type="dxa" w:w="1872"/>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تجنّب 2 حالات تواصل ناتجة عن توقف الطلب بسبب نقص المتطلبات.</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SMS</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«شرطة الفجيرة: طلب تجديد رخصتك رقم [X] يستلزم استكمال خطوة [X]. يرجى المراجعة قبل تاريخ [X].»</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 حالات</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تنبيه بمتطلبات استكمال طلب تجديد الرخصة</w:t>
            </w:r>
          </w:p>
        </w:tc>
      </w:tr>
    </w:tbl>
    <w:p/>
    <w:p>
      <w:pPr>
        <w:bidi w:val="1"/>
        <w:pStyle w:val="Heading1"/>
        <w:jc w:val="left"/>
      </w:pPr>
      <w:r>
        <w:rPr>
          <w:rFonts w:ascii="Dubai" w:hAnsi="Dubai" w:eastAsia="Dubai" w:cs="Dubai"/>
          <w:b/>
          <w:color w:val="B68A35"/>
          <w:sz w:val="32"/>
          <w:szCs w:val="32"/>
          <w:rtl/>
        </w:rPr>
        <w:t>سابعاً: حالات الاستخدام المدعومة بالذكاء الاصطناعي</w:t>
      </w:r>
      <w:bookmarkStart w:id="21" w:name="_Toc000000021"/>
      <w:bookmarkEnd w:id="21"/>
    </w:p>
    <w:p>
      <w:pPr>
        <w:bidi w:val="1"/>
        <w:spacing w:after="120"/>
        <w:jc w:val="both"/>
      </w:pPr>
      <w:r>
        <w:rPr>
          <w:rFonts w:ascii="Dubai" w:hAnsi="Dubai" w:eastAsia="Dubai" w:cs="Dubai"/>
          <w:b w:val="0"/>
          <w:i w:val="0"/>
          <w:color w:val="000000"/>
          <w:sz w:val="24"/>
          <w:szCs w:val="24"/>
          <w:u w:val="none"/>
          <w:rtl/>
        </w:rPr>
        <w:t>تتكامل الفرص المرصودة في يناير - ديسمبر 2025 مع قدرات الذكاء الاصطناعي لتشكيل منظومة خدمة ذاتية ذكية قادرة على تغطية ما يزيد على 84.0% من حجم التواصل الحالي دون تدخل بشري في مرحلة التصنيف. واستناداً إلى مجموع 50 حالة موثقة خلال الفترة المذكورة، تم تحديد أربع أدوات ذكاء اصطناعي متكاملة تعالج أبرز مصادر الاحتكاك في رحلة المتعامل من المصدر وليس بعد تسجيل الشكوى.</w:t>
      </w:r>
    </w:p>
    <w:p>
      <w:pPr>
        <w:bidi w:val="1"/>
        <w:spacing w:after="120"/>
        <w:jc w:val="both"/>
      </w:pPr>
      <w:r>
        <w:rPr>
          <w:rFonts w:ascii="Dubai" w:hAnsi="Dubai" w:eastAsia="Dubai" w:cs="Dubai"/>
          <w:b w:val="0"/>
          <w:i w:val="0"/>
          <w:color w:val="000000"/>
          <w:sz w:val="24"/>
          <w:szCs w:val="24"/>
          <w:u w:val="none"/>
          <w:rtl/>
        </w:rPr>
        <w:t>ملاحظة محورية: بيانات التدريب جاهزة الآن — إذ تتوفر 50 حالة مُصنَّفة ومُوسومة يدوياً تغطي الفترة الممتدة من يناير حتى ديسمبر 2025، وهذه المجموعة المُعلَّمة كافية لانطلاق تدريب المصنِّف الآلي بالذكاء الاصطناعي فوراً دون الحاجة إلى جمع بيانات إضافية.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تقييم التنفيذ</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الأثر المتوقع على بيانات يناير - ديسمبر 2025</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الوظيفة</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الأداة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مرتفع — 9+ أشهر (يتطلب الوصول لتغذية لحظية من كاميرات المخالفات)</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يُفعَّل النظام لحظة التقاط صورة المخالفة المرورية، إذ يستخدم نموذج رؤية حاسوبية (Computer Vision) لمطابقة لون المركبة وطرازها مع بيانات السجل الرسمي للوحة المصورة. يرصد النظام أي تناقض بين مواصفات المركبة في الصورة والبيانات المسجلة في قاعدة البيانات، ويُصدر تنبيهاً فورياً للمشغل قبل إتمام إصدار المخالفة، مما يمنع وصول البلاغات المشكوك فيها إلى المتعامل أصلاً.</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نظام التحقق البصري من صحة المخالفات المرورية</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متوسط — 3-4 أشهر (يتطلب خريطة صلاحيات موثقة لكل الجهات)</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يعتمد النظام على نموذج تصنيف نصي مدرَّب على أنماط حالات CRM لتحليل محتوى كل استفسار وارد جديد وتحديد الجهة المختصة تلقائياً، سواء أكانت شرطة الفجيرة أم RTA أم البلدية أم أي هيئة أخرى، وفقاً لقاعدة بيانات صلاحيات موثقة. يُنتج النظام توجيهاً فورياً يُرسَل للمتعامل عبر SMS أو المنصة الرقمية، مما يلغي مرحلة إعادة التوجيه اليدوي ويُقلص دوران الحالة بين الجهات.</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متوسط — 3-4 أشهر (نموذج OCR ومعايير التحقق من الوثائق متاحة تجارياً)</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يُشغَّل النظام تلقائياً فور رفع المتعامل لأي وثيقة أو صورة ضمن طلبه الإلكتروني، حيث يوظف تقنية OCR وخوارزميات فحص الجودة للتحقق من دقة الصورة الشخصية وصلاحية شهادة الفحص الفني واكتمال الحقول الإلزامية وتطابق رقم الهوية. يُصدر النظام تقريراً فورياً يُرشد المتعامل إلى الحقول الناقصة أو الصور غير المستوفية قبل إرسال الطلب، دون الحاجة إلى مراجعة يدوية من الموظف.</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فاحص جودة الوثائق والصور بتقنية OCR</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منخفض–متوسط — 2-3 أشهر (بيانات الموقع مستخرجة من نصوص CRM الموجودة)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يعمل النظام على مجموعة نصوص CRM الواردة خلال الفترة المحددة، إذ يستخدم تقنية استخراج الكيانات الجغرافية (NER) لتحديد أسماء المناطق والتقاطعات المذكورة في الشكاوى والمقترحات. تُحوَّل هذه الكيانات إلى خريطة حرارية تكشف المناطق ذات الكثافة الشكوائية غير المتناسبة، وتُقدَّم النتائج في تقارير مرئية دورية تدعم قرارات تخصيص الموارد وتحديد أولويات البنية التحتية.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بخرائط حرارية عبر NER</w:t>
            </w:r>
          </w:p>
        </w:tc>
      </w:tr>
    </w:tbl>
    <w:p/>
    <w:p>
      <w:pPr>
        <w:bidi w:val="1"/>
        <w:pStyle w:val="Heading1"/>
        <w:jc w:val="left"/>
      </w:pPr>
      <w:r>
        <w:rPr>
          <w:rFonts w:ascii="Dubai" w:hAnsi="Dubai" w:eastAsia="Dubai" w:cs="Dubai"/>
          <w:b/>
          <w:color w:val="B68A35"/>
          <w:sz w:val="32"/>
          <w:szCs w:val="32"/>
          <w:rtl/>
        </w:rPr>
        <w:t>ثامناً: خارطة الطريق التحسينية المقترحة</w:t>
      </w:r>
      <w:bookmarkStart w:id="22" w:name="_Toc000000022"/>
      <w:bookmarkEnd w:id="22"/>
    </w:p>
    <w:p>
      <w:pPr>
        <w:bidi w:val="1"/>
        <w:spacing w:after="120"/>
        <w:jc w:val="both"/>
      </w:pPr>
      <w:r>
        <w:rPr>
          <w:rFonts w:ascii="Dubai" w:hAnsi="Dubai" w:eastAsia="Dubai" w:cs="Dubai"/>
          <w:b w:val="0"/>
          <w:i w:val="0"/>
          <w:color w:val="000000"/>
          <w:sz w:val="24"/>
          <w:szCs w:val="24"/>
          <w:u w:val="none"/>
          <w:rtl/>
        </w:rPr>
        <w:t>تجمع هذه الخارطة توصيات التحليلات الأربعة في منظومة أولويات متدرجة مستندةً إلى بيانات الفترة يناير - ديسمبر 2025 البالغ فيها إجمالي الحالات 50 حالة، بهدف تحويل المعالجة من التفاعلية إلى الاستباقية. جميع البنود الثمانية مستخلصة من الحالات الفعلية دون توصيات نظرية، ومرتّبة تنازلياً وفق معيارَي الأثر وسهولة التنفيذ.</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الجهد</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المصدر</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الأفق الزمني</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إلغاء 4+ حالات تواصل ناجمة عن استفسار المتعاملين عن وصول وثائقهم قبل اكتمال التسليم.</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عند طباعة وثيقة الملكية أو الرخصة وإحالتها لبريد الإمارات، يُرسَل تلقائياً عبر SMS ورسالة في التطبيق رابطُ تتبع الشحنة مع المدة المتوقعة للتسليم.</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تقليص 4+ حالة ناتجة عن غياب إشعار الإرسال، وخفض الاتصالات الواردة لمتابعة الوثائق.</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أضف خطوة إلزامية في سير عمل CRM تُقيّد رقم بوليصة بريد الإمارات فور الإرسال، ويُفعَّل إشعار SMS تلقائي للمتعامل يتضمن رقم التتبع ورابطه المباشر.</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تقليص 4+ حالة اعتراض مرورية مستندة إلى سوء الفهم، وخفض الاعتراضات المتكررة غير المبررة.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انشر عبر التطبيق والبوابة الإلكترونية صفحة توضيحية تعرض الحدود المرورية المسموح بها وآلية الاعتراض الرسمية، مع إرسال رسالة SMS تذكيرية عند تسجيل كل مخالفة.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إلغاء 3+ حالات متابعة دورية لطلبات تراخيص الأسلحة وتخفيف الضغط على قنوات الدعم.</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فعّل مشغّلاً زمنياً في نظام الطلبات يُرسل كل 30 يوماً إشعار SMS وبريد إلكتروني لمقدم طلب ترخيص السلاح، يوضح مرحلة طلبه الحالية من بين: «قيد المراجعة / محوّل للجنة / منتهٍ».</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إلغاء 3+ حالات استفسار عن نتائج الطلبات وتحويل التواصل من تفاعلي إلى استباقي.</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اربط نظام إدارة الطلبات بمحرك إشعارات يُطلق رسالة SMS وإشعاراً داخل التطبيق فور تغيّر حالة أي طلب إلى: «مقبول» أو «مرفوض» أو «يحتاج مستندات إضافية»، دون انتظار تواصل المتعامل.</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5</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معالجة 3+ حالة متابعة ناجمة عن غياب التحديث التلقائي وتعزيز الشفافية الإجرائية للمتعاملين.</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طوّر في البوابة والتطبيق خاصية «تتبع طلبي» برقم الخدمة، مع إشعارات متعددة القنوات عند كل مرحلة معالجة، ومحفزات تصعيد تلقائية عند تجاوز مستويات الخدمة المحددة دون تحديث للحالة.</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تحويل مقترحات البنية التحتية من اجتهادات فردية إلى قرارات استثمار مبنية على كثافة الحالات الجغرافية الفعلية.</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شغّل نموذج استخراج الكيانات المسماة NER لرصد المناطق الجغرافية المتكررة في مقترحات البنية التحتية الواردة، وأنتج خرائط حرارية ربع سنوية ترفع لمتخذي القرار لتحديد أولويات الاستثمار الميداني.</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7</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 قصير المدى</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متوسط</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قطع دوران الحالات بين الجهات وتقليص وقت الحل لـ 5+ حالة وُجِّهت سابقاً لجهة خاطئة.</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طوّر موجّهاً ذكياً مدمجاً في CRM يصنّف الحالات الواردة ويحيلها تلقائياً للجهة الحكومية المختصة عبر واجهات برمجية API، مع تنبيه للمشغل عند كل إحالة خارجية.</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8</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متوسط المدى</w:t>
            </w:r>
          </w:p>
        </w:tc>
      </w:tr>
    </w:tbl>
    <w:p/>
    <w:p>
      <w:pPr>
        <w:bidi w:val="1"/>
        <w:pStyle w:val="Heading1"/>
        <w:jc w:val="left"/>
      </w:pPr>
      <w:r>
        <w:rPr>
          <w:rFonts w:ascii="Dubai" w:hAnsi="Dubai" w:eastAsia="Dubai" w:cs="Dubai"/>
          <w:b/>
          <w:color w:val="B68A35"/>
          <w:sz w:val="32"/>
          <w:szCs w:val="32"/>
          <w:rtl/>
        </w:rPr>
        <w:t>تاسعاً: الخلاصة — من البيانات إلى القرار</w:t>
      </w:r>
      <w:bookmarkStart w:id="23" w:name="_Toc000000023"/>
      <w:bookmarkEnd w:id="23"/>
    </w:p>
    <w:p>
      <w:pPr>
        <w:bidi w:val="1"/>
        <w:spacing w:after="120"/>
        <w:jc w:val="both"/>
      </w:pPr>
      <w:r>
        <w:rPr>
          <w:rFonts w:ascii="Dubai" w:hAnsi="Dubai" w:eastAsia="Dubai" w:cs="Dubai"/>
          <w:b w:val="0"/>
          <w:i w:val="0"/>
          <w:color w:val="000000"/>
          <w:sz w:val="24"/>
          <w:szCs w:val="24"/>
          <w:u w:val="none"/>
          <w:rtl/>
        </w:rPr>
        <w:t>الرسالة النهائية: إن وصول 94.0% من الحالات عبر القنوات الرقمية (التطبيق والموقع الإلكتروني) مقروناً بمعدل إغلاق ضمن مستوى الخدمة بلغ 98.0% يُثبت تميّزاً تشغيلياً واضحاً في قناة التقديم، غير أن 86.2% من حالات الاحتكاك نشأت في سياق الخدمة الرقمية ذاتها — من أخطاء التطبيق والتجديد الإلكتروني والدفع الرقمي — مما يكشف أن الفجوة ليست في إتاحة القنوات بل في وظائف الخدمة وجودتها. إن إعادة تصنيف 42 حالة بنسبة 84.0% دليلٌ قاطع على أن المشكلة الجوهرية تكمن في غياب وظائف الخدمة لا في نقص قنوات التواصل، ويتجلى ذلك بوضوح في نقطة الاحتكاك الأعلى تكراراً وهي «مخالفة تُظهر مركبة مختلفة أو صدرت في غياب المتعامل عن الفجيرة» التي سُجّلت في 9 حالات. تُثبت التحليلات الواردة في هذا التقرير أن المسار الأمثل يرتكز على ثلاثة محاور لا على الموارد البشرية: سد الفجوات الوظيفية الخمس الحرجة المُحدَّدة في تحليل الفجوات، وتفعيل منظومة الإشعار الاستباقي القادرة على إلغاء ما لا يقل عن 12 حالة قبل وقوعها، فضلاً عن تصحيح جودة البيانات لضمان دقة القرار وكفاءة الخدمة.</w:t>
      </w:r>
    </w:p>
    <w:p>
      <w:pPr>
        <w:bidi w:val="1"/>
        <w:pStyle w:val="Heading2"/>
        <w:jc w:val="left"/>
      </w:pPr>
      <w:r>
        <w:rPr>
          <w:rFonts w:ascii="Dubai" w:hAnsi="Dubai" w:eastAsia="Dubai" w:cs="Dubai"/>
          <w:b/>
          <w:color w:val="B68A35"/>
          <w:sz w:val="26"/>
          <w:szCs w:val="26"/>
          <w:rtl/>
        </w:rPr>
        <w:t>المحاور الثلاثة للتحول</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المحور الثالث: الذكاء</w:t>
            </w:r>
          </w:p>
        </w:tc>
        <w:tc>
          <w:tcPr>
            <w:tcW w:type="dxa" w:w="312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المحور الثاني: الإتاحة</w:t>
            </w:r>
          </w:p>
        </w:tc>
        <w:tc>
          <w:tcPr>
            <w:tcW w:type="dxa" w:w="312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المحور الأول: الدقة</w:t>
            </w:r>
          </w:p>
        </w:tc>
      </w:tr>
      <w:tr>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نظام التحقق البصري من صحة المخالفات المرورية</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أسئلة شائعة موحدة وشاملة</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رفع دقة تصنيفات الطلبات</w:t>
            </w:r>
          </w:p>
        </w:tc>
      </w:tr>
      <w:tr>
        <w:tc>
          <w:tcPr>
            <w:tcW w:type="dxa" w:w="312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c>
          <w:tcPr>
            <w:tcW w:type="dxa" w:w="312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إشعار حالة تسليم الوثائق عبر البريد</w:t>
            </w:r>
          </w:p>
        </w:tc>
        <w:tc>
          <w:tcPr>
            <w:tcW w:type="dxa" w:w="312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إضافة حقلي السبب الجذري وزمن المعالجة في حل الطلب</w:t>
            </w:r>
          </w:p>
        </w:tc>
      </w:tr>
      <w:tr>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فاحص جودة الوثائق والصور بتقنية OCR</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تنبيه بمتطلبات استكمال طلب تجديد الرخصة</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إعادة هيكلة تصنيف الخدمات وإلغاء «أخرى»</w:t>
            </w:r>
          </w:p>
        </w:tc>
      </w:tr>
      <w:tr>
        <w:tc>
          <w:tcPr>
            <w:tcW w:type="dxa" w:w="312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بخرائط حرارية عبر NER</w:t>
            </w:r>
          </w:p>
        </w:tc>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تحديث دوري لحالة طلبات تراخيص الأسلحة</w:t>
            </w:r>
          </w:p>
        </w:tc>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r>
    </w:tbl>
    <w:p/>
    <w:p>
      <w:pPr>
        <w:bidi w:val="1"/>
        <w:pStyle w:val="Heading2"/>
        <w:jc w:val="left"/>
      </w:pPr>
      <w:r>
        <w:rPr>
          <w:rFonts w:ascii="Dubai" w:hAnsi="Dubai" w:eastAsia="Dubai" w:cs="Dubai"/>
          <w:b/>
          <w:color w:val="B68A35"/>
          <w:sz w:val="26"/>
          <w:szCs w:val="26"/>
          <w:rtl/>
        </w:rPr>
        <w:t>الأثر المجمّع المتوقع:</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30-40%</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95%+</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12+</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color w:val="FFFFFF"/>
                <w:sz w:val="20"/>
                <w:szCs w:val="20"/>
                <w:rtl/>
              </w:rPr>
              <w:t>16.0%</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خفض حالات التواصل المتكرر والاتصالات</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دقة تصنيف الحالات بعد المُصنِّف الآلي وتطبيق المبادرات المقترحة</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حالة قابلة للإلغاء بالإشعار الاستباقي</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 طلبات التواصل هي استفسارات حقيقية قابلة للتحويل الكامل للخدمة الاستباقية</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Bdr>
        <w:top w:val="single" w:sz="12" w:space="4" w:color="B68A35"/>
      </w:pBdr>
    </w:pPr>
    <w:r>
      <w:rPr>
        <w:rFonts w:ascii="Dubai" w:hAnsi="Dubai" w:eastAsia="Dubai" w:cs="Dubai"/>
        <w:sz w:val="18"/>
        <w:szCs w:val="18"/>
      </w:rPr>
      <w:t xml:space="preserve">سري — للاستخدام الداخلي  |  صفحة </w:t>
    </w:r>
    <w:r>
      <w:rPr>
        <w:rFonts w:ascii="Dubai" w:hAnsi="Dubai" w:eastAsia="Dubai" w:cs="Dubai"/>
        <w:sz w:val="18"/>
        <w:szCs w:val="18"/>
      </w:rPr>
      <w:t>‏</w:t>
    </w:r>
    <w:r>
      <w:fldChar w:fldCharType="begin"/>
    </w:r>
    <w:r>
      <w:instrText xml:space="preserve"> PAGE </w:instrText>
    </w:r>
    <w:r>
      <w:fldChar w:fldCharType="end"/>
    </w:r>
    <w:r>
      <w:rPr>
        <w:rFonts w:ascii="Dubai" w:hAnsi="Dubai" w:eastAsia="Dubai" w:cs="Dubai"/>
        <w:sz w:val="18"/>
        <w:szCs w:val="18"/>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center"/>
      <w:pBdr>
        <w:bottom w:val="single" w:sz="12" w:space="4" w:color="B68A35"/>
      </w:pBdr>
    </w:pPr>
    <w:r>
      <w:rPr>
        <w:rFonts w:ascii="Dubai" w:hAnsi="Dubai" w:eastAsia="Dubai" w:cs="Dubai"/>
        <w:color w:val="B68A35"/>
        <w:sz w:val="20"/>
        <w:szCs w:val="20"/>
        <w:rtl/>
      </w:rPr>
      <w:t>تقرير تحليل استفسارات المتعاملين  ·  يناير - ديسمبر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ubai" w:hAnsi="Dubai" w:cs="Duba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ubai" w:hAnsi="Dubai" w:cs="Duba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ubai" w:hAnsi="Dubai" w:cs="Duba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ubai" w:hAnsi="Dubai" w:cs="Duba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bidi/>
      <w:spacing w:before="0" w:line="240" w:lineRule="auto"/>
      <w:ind w:left="0"/>
      <w:jc w:val="left"/>
    </w:pPr>
    <w:rPr>
      <w:rFonts w:ascii="Dubai" w:hAnsi="Dubai" w:cs="Dubai"/>
      <w:b/>
      <w:bCs/>
      <w:color w:val="FFFFFF"/>
      <w:rtl/>
    </w:rPr>
  </w:style>
  <w:style w:type="paragraph" w:styleId="TOC1">
    <w:name w:val="toc 1"/>
    <w:basedOn w:val="Normal"/>
    <w:next w:val="Normal"/>
    <w:autoRedefine/>
    <w:uiPriority w:val="39"/>
    <w:unhideWhenUsed/>
    <w:pPr>
      <w:tabs>
        <w:tab w:val="right" w:leader="dot" w:pos="9310"/>
      </w:tabs>
      <w:bidi/>
      <w:spacing w:after="100"/>
      <w:jc w:val="left"/>
    </w:pPr>
    <w:rPr>
      <w:rFonts w:cs="Dubai"/>
    </w:rPr>
  </w:style>
  <w:style w:type="paragraph" w:styleId="TOC2">
    <w:name w:val="toc 2"/>
    <w:basedOn w:val="Normal"/>
    <w:next w:val="Normal"/>
    <w:autoRedefine/>
    <w:uiPriority w:val="39"/>
    <w:unhideWhenUsed/>
    <w:pPr>
      <w:tabs>
        <w:tab w:val="right" w:leader="dot" w:pos="9310"/>
      </w:tabs>
      <w:bidi/>
      <w:spacing w:after="100"/>
      <w:jc w:val="left"/>
    </w:pPr>
    <w:rPr>
      <w:rFonts w:cs="Dubai"/>
    </w:rPr>
  </w:style>
  <w:style w:type="paragraph" w:styleId="TOC3">
    <w:name w:val="toc 3"/>
    <w:basedOn w:val="Normal"/>
    <w:next w:val="Normal"/>
    <w:autoRedefine/>
    <w:uiPriority w:val="39"/>
    <w:unhideWhenUsed/>
    <w:pPr>
      <w:tabs>
        <w:tab w:val="right" w:leader="dot" w:pos="9310"/>
      </w:tabs>
      <w:bidi/>
      <w:spacing w:after="100"/>
      <w:jc w:val="left"/>
    </w:pPr>
    <w:rPr>
      <w:rFonts w:cs="Duba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التصنيف الأصلي مقارنةً بالتصنيف الصحيح</a:t>
            </a:r>
          </a:p>
        </c:rich>
      </c:tx>
      <c:overlay val="0"/>
    </c:title>
    <c:plotArea>
      <c:layout/>
      <c:barChart>
        <c:barDir val="col"/>
        <c:grouping val="clustered"/>
        <c:varyColors val="0"/>
        <c:ser>
          <c:idx val="0"/>
          <c:order val="0"/>
          <c:tx>
            <c:strRef>
              <c:f>Sheet1!$B$1</c:f>
              <c:strCache>
                <c:ptCount val="1"/>
                <c:pt idx="0">
                  <c:v>التصنيف الصحيح</c:v>
                </c:pt>
              </c:strCache>
            </c:strRef>
          </c:tx>
          <c:spPr>
            <a:solidFill>
              <a:srgbClr val="B68A35"/>
            </a:solidFill>
            <a:ln>
              <a:solidFill>
                <a:srgbClr val="B68A35"/>
              </a:solidFill>
            </a:ln>
          </c:spPr>
          <c:cat>
            <c:strRef>
              <c:f>Sheet1!$A$2:$A$5</c:f>
              <c:strCache>
                <c:ptCount val="4"/>
                <c:pt idx="0">
                  <c:v>شكوى</c:v>
                </c:pt>
                <c:pt idx="1">
                  <c:v>استفسار</c:v>
                </c:pt>
                <c:pt idx="2">
                  <c:v>طلب</c:v>
                </c:pt>
                <c:pt idx="3">
                  <c:v>شكر وثناء</c:v>
                </c:pt>
              </c:strCache>
            </c:strRef>
          </c:cat>
          <c:val>
            <c:numRef>
              <c:f>Sheet1!$B$2:$B$5</c:f>
              <c:numCache>
                <c:formatCode>General</c:formatCode>
                <c:ptCount val="4"/>
                <c:pt idx="0">
                  <c:v>28.0</c:v>
                </c:pt>
                <c:pt idx="1">
                  <c:v>8.0</c:v>
                </c:pt>
                <c:pt idx="2">
                  <c:v>14.0</c:v>
                </c:pt>
                <c:pt idx="3">
                  <c:v>0.0</c:v>
                </c:pt>
              </c:numCache>
            </c:numRef>
          </c:val>
        </c:ser>
        <c:ser>
          <c:idx val="1"/>
          <c:order val="1"/>
          <c:tx>
            <c:strRef>
              <c:f>Sheet1!$C$1</c:f>
              <c:strCache>
                <c:ptCount val="1"/>
                <c:pt idx="0">
                  <c:v>التصنيف الأصلي</c:v>
                </c:pt>
              </c:strCache>
            </c:strRef>
          </c:tx>
          <c:spPr>
            <a:solidFill>
              <a:srgbClr val="999999"/>
            </a:solidFill>
            <a:ln>
              <a:solidFill>
                <a:srgbClr val="999999"/>
              </a:solidFill>
            </a:ln>
          </c:spPr>
          <c:cat>
            <c:strRef>
              <c:f>Sheet1!$A$2:$A$5</c:f>
              <c:strCache>
                <c:ptCount val="4"/>
                <c:pt idx="0">
                  <c:v>شكوى</c:v>
                </c:pt>
                <c:pt idx="1">
                  <c:v>استفسار</c:v>
                </c:pt>
                <c:pt idx="2">
                  <c:v>طلب</c:v>
                </c:pt>
                <c:pt idx="3">
                  <c:v>شكر وثناء</c:v>
                </c:pt>
              </c:strCache>
            </c:strRef>
          </c:cat>
          <c:val>
            <c:numRef>
              <c:f>Sheet1!$C$2:$C$5</c:f>
              <c:numCache>
                <c:formatCode>General</c:formatCode>
                <c:ptCount val="4"/>
                <c:pt idx="0">
                  <c:v>0.0</c:v>
                </c:pt>
                <c:pt idx="1">
                  <c:v>50.0</c:v>
                </c:pt>
                <c:pt idx="2">
                  <c:v>0.0</c:v>
                </c:pt>
                <c:pt idx="3">
                  <c:v>0.0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