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embeddings/chart1_data.xlsx" ContentType="application/vnd.openxmlformats-officedocument.spreadsheetml.shee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mc:Ignorable="w14 wp14">
  <w:body>
    <w:p>
      <w:pPr>
        <w:spacing w:before="0" w:after="240"/>
      </w:pPr>
    </w:p>
    <w:p>
      <w:pPr>
        <w:jc w:val="center"/>
      </w:pPr>
      <w:r>
        <w:drawing>
          <wp:inline xmlns:pic="http://schemas.openxmlformats.org/drawingml/2006/picture">
            <wp:extent cx="1508400" cy="986400"/>
            <wp:docPr id="1" name="Picture 1"/>
            <wp:cNvGraphicFramePr>
              <a:graphicFrameLocks noChangeAspect="1"/>
            </wp:cNvGraphicFramePr>
            <a:graphic>
              <a:graphicData uri="http://schemas.openxmlformats.org/drawingml/2006/picture">
                <pic:pic>
                  <pic:nvPicPr>
                    <pic:cNvPr id="0" name="fujairah-short-logo.png"/>
                    <pic:cNvPicPr/>
                  </pic:nvPicPr>
                  <pic:blipFill>
                    <a:blip r:embed="rId11"/>
                    <a:stretch>
                      <a:fillRect/>
                    </a:stretch>
                  </pic:blipFill>
                  <pic:spPr>
                    <a:xfrm>
                      <a:off x="0" y="0"/>
                      <a:ext cx="1508400" cy="986400"/>
                    </a:xfrm>
                    <a:prstGeom prst="rect"/>
                  </pic:spPr>
                </pic:pic>
              </a:graphicData>
            </a:graphic>
          </wp:inline>
        </w:drawing>
      </w:r>
    </w:p>
    <w:p>
      <w:pPr>
        <w:spacing w:before="160" w:after="160"/>
        <w:pBdr>
          <w:bottom w:val="single" w:sz="12" w:space="4" w:color="B68A35"/>
        </w:pBdr>
      </w:pPr>
    </w:p>
    <w:p>
      <w:pPr>
        <w:pStyle w:val="Heading1"/>
        <w:spacing w:before="240" w:after="240"/>
        <w:jc w:val="center"/>
      </w:pPr>
      <w:r>
        <w:rPr>
          <w:rFonts w:ascii="Calibri" w:hAnsi="Calibri" w:eastAsia="Calibri" w:cs="Calibri"/>
          <w:b/>
          <w:color w:val="B68A35"/>
          <w:sz w:val="32"/>
          <w:szCs w:val="32"/>
        </w:rPr>
        <w:t>Customer Inquiry Analysis Report — January - December 2025</w:t>
      </w:r>
      <w:bookmarkStart w:id="1" w:name="_Toc000000001"/>
      <w:bookmarkEnd w:id="1"/>
    </w:p>
    <w:p>
      <w:pPr>
        <w:spacing w:before="160" w:after="160"/>
        <w:pBdr>
          <w:bottom w:val="single" w:sz="12" w:space="4" w:color="B68A35"/>
        </w:pBdr>
      </w:pPr>
    </w:p>
    <w:p>
      <w:pPr>
        <w:spacing w:before="0" w:after="320"/>
      </w:pPr>
    </w:p>
    <w:p>
      <w:pPr>
        <w:spacing w:after="160"/>
        <w:jc w:val="center"/>
      </w:pPr>
      <w:r>
        <w:rPr>
          <w:rFonts w:ascii="Calibri" w:hAnsi="Calibri" w:eastAsia="Calibri" w:cs="Calibri"/>
          <w:b/>
          <w:i w:val="0"/>
          <w:color w:val="B68A35"/>
          <w:sz w:val="28"/>
          <w:szCs w:val="24"/>
          <w:u w:val="none"/>
        </w:rPr>
        <w:t>January - December 2025</w:t>
      </w:r>
    </w:p>
    <w:p>
      <w:pPr>
        <w:spacing w:before="0" w:after="320"/>
      </w:pPr>
    </w:p>
    <w:p>
      <w:pPr>
        <w:spacing w:after="160"/>
        <w:jc w:val="center"/>
      </w:pPr>
      <w:r>
        <w:rPr>
          <w:rFonts w:ascii="Calibri" w:hAnsi="Calibri" w:eastAsia="Calibri" w:cs="Calibri"/>
          <w:b/>
          <w:i w:val="0"/>
          <w:color w:val="B68A35"/>
          <w:sz w:val="28"/>
          <w:szCs w:val="24"/>
          <w:u w:val="none"/>
        </w:rPr>
        <w:t>Total Cases: 50</w:t>
      </w:r>
    </w:p>
    <w:p>
      <w:pPr>
        <w:spacing w:after="160"/>
        <w:jc w:val="center"/>
      </w:pPr>
      <w:r>
        <w:rPr>
          <w:rFonts w:ascii="Calibri" w:hAnsi="Calibri" w:eastAsia="Calibri" w:cs="Calibri"/>
          <w:b/>
          <w:i w:val="0"/>
          <w:color w:val="B68A35"/>
          <w:sz w:val="28"/>
          <w:szCs w:val="24"/>
          <w:u w:val="none"/>
        </w:rPr>
        <w:t>Complaints: 56.0% of Total Contact</w:t>
      </w:r>
    </w:p>
    <w:p>
      <w:pPr>
        <w:spacing w:after="160"/>
        <w:jc w:val="center"/>
      </w:pPr>
      <w:r>
        <w:rPr>
          <w:rFonts w:ascii="Calibri" w:hAnsi="Calibri" w:eastAsia="Calibri" w:cs="Calibri"/>
          <w:b/>
          <w:i w:val="0"/>
          <w:color w:val="B68A35"/>
          <w:sz w:val="28"/>
          <w:szCs w:val="24"/>
          <w:u w:val="none"/>
        </w:rPr>
        <w:t>On-Time Closure Rate: 98%</w:t>
      </w:r>
    </w:p>
    <w:p>
      <w:pPr>
        <w:spacing w:before="0" w:after="640"/>
      </w:pPr>
    </w:p>
    <w:p>
      <w:pPr>
        <w:spacing w:after="0"/>
        <w:jc w:val="center"/>
      </w:pPr>
      <w:r>
        <w:rPr>
          <w:rFonts w:ascii="Calibri" w:hAnsi="Calibri" w:eastAsia="Calibri" w:cs="Calibri"/>
          <w:b w:val="0"/>
          <w:i w:val="0"/>
          <w:color w:val="606060"/>
          <w:sz w:val="24"/>
          <w:szCs w:val="24"/>
          <w:u w:val="none"/>
        </w:rPr>
        <w:t>Fujairah Police  |  2026-05-15  |  Integrated Business Intelligence Analysis</w:t>
      </w:r>
    </w:p>
    <w:p>
      <w:r>
        <w:br w:type="page"/>
      </w:r>
    </w:p>
    <w:sdt>
      <w:sdtPr>
        <w:docPartObj>
          <w:docPartGallery w:val="Table of Contents"/>
          <w:docPartUnique/>
        </w:docPartObj>
      </w:sdtPr>
      <w:sdtEndPr/>
      <w:sdtContent>
        <w:p>
          <w:pPr>
            <w:pStyle w:val="TOCHeading"/>
          </w:pPr>
          <w:r>
            <w:rPr>
              <w:rFonts w:ascii="Calibri" w:hAnsi="Calibri" w:cs="Calibri"/>
              <w:color w:val="FFFFFF"/>
            </w:rPr>
            <w:t>Table of Contents</w:t>
          </w:r>
        </w:p>
        <w:p>
          <w:pPr>
            <w:pStyle w:val="TOC1"/>
          </w:pPr>
          <w:r>
            <w:fldChar w:fldCharType="begin"/>
          </w:r>
          <w:r>
            <w:instrText xml:space="preserve"> TOC \o "1-3" \h \z \u </w:instrText>
          </w:r>
          <w:r>
            <w:fldChar w:fldCharType="separate"/>
          </w:r>
          <w:hyperlink w:anchor="_Toc000000002" w:history="1">
            <w:r>
              <w:rPr>
                <w:rStyle w:val="Hyperlink"/>
                <w:rFonts w:ascii="Calibri" w:hAnsi="Calibri" w:cs="Calibri"/>
                <w:noProof/>
              </w:rPr>
              <w:t>Section One: Executive Summary — Key Analyses</w:t>
            </w:r>
            <w:r>
              <w:rPr>
                <w:noProof/>
                <w:webHidden/>
              </w:rPr>
              <w:tab/>
            </w:r>
            <w:r>
              <w:fldChar w:fldCharType="begin"/>
            </w:r>
            <w:r>
              <w:instrText xml:space="preserve"> PAGEREF _Toc000000002 \h </w:instrText>
            </w:r>
            <w:r>
              <w:rPr>
                <w:noProof/>
                <w:webHidden/>
              </w:rPr>
              <w:fldChar w:fldCharType="separate"/>
            </w:r>
            <w:r>
              <w:rPr>
                <w:noProof/>
                <w:webHidden/>
              </w:rPr>
              <w:t>1</w:t>
            </w:r>
            <w:r>
              <w:rPr>
                <w:noProof/>
                <w:webHidden/>
              </w:rPr>
              <w:fldChar w:fldCharType="end"/>
            </w:r>
          </w:hyperlink>
        </w:p>
        <w:p>
          <w:pPr>
            <w:pStyle w:val="TOC2"/>
          </w:pPr>
          <w:hyperlink w:anchor="_Toc000000003" w:history="1">
            <w:r>
              <w:rPr>
                <w:rStyle w:val="Hyperlink"/>
                <w:rFonts w:ascii="Calibri" w:hAnsi="Calibri" w:cs="Calibri"/>
                <w:noProof/>
              </w:rPr>
              <w:t>Key Findings</w:t>
            </w:r>
            <w:r>
              <w:rPr>
                <w:noProof/>
                <w:webHidden/>
              </w:rPr>
              <w:tab/>
            </w:r>
            <w:r>
              <w:fldChar w:fldCharType="begin"/>
            </w:r>
            <w:r>
              <w:instrText xml:space="preserve"> PAGEREF _Toc000000003 \h </w:instrText>
            </w:r>
            <w:r>
              <w:rPr>
                <w:noProof/>
                <w:webHidden/>
              </w:rPr>
              <w:fldChar w:fldCharType="separate"/>
            </w:r>
            <w:r>
              <w:rPr>
                <w:noProof/>
                <w:webHidden/>
              </w:rPr>
              <w:t>1</w:t>
            </w:r>
            <w:r>
              <w:rPr>
                <w:noProof/>
                <w:webHidden/>
              </w:rPr>
              <w:fldChar w:fldCharType="end"/>
            </w:r>
          </w:hyperlink>
        </w:p>
        <w:p>
          <w:pPr>
            <w:pStyle w:val="TOC1"/>
          </w:pPr>
          <w:hyperlink w:anchor="_Toc000000004" w:history="1">
            <w:r>
              <w:rPr>
                <w:rStyle w:val="Hyperlink"/>
                <w:rFonts w:ascii="Calibri" w:hAnsi="Calibri" w:cs="Calibri"/>
                <w:noProof/>
              </w:rPr>
              <w:t>Section Two: Methodology and Source Nature</w:t>
            </w:r>
            <w:r>
              <w:rPr>
                <w:noProof/>
                <w:webHidden/>
              </w:rPr>
              <w:tab/>
            </w:r>
            <w:r>
              <w:fldChar w:fldCharType="begin"/>
            </w:r>
            <w:r>
              <w:instrText xml:space="preserve"> PAGEREF _Toc000000004 \h </w:instrText>
            </w:r>
            <w:r>
              <w:rPr>
                <w:noProof/>
                <w:webHidden/>
              </w:rPr>
              <w:fldChar w:fldCharType="separate"/>
            </w:r>
            <w:r>
              <w:rPr>
                <w:noProof/>
                <w:webHidden/>
              </w:rPr>
              <w:t>1</w:t>
            </w:r>
            <w:r>
              <w:rPr>
                <w:noProof/>
                <w:webHidden/>
              </w:rPr>
              <w:fldChar w:fldCharType="end"/>
            </w:r>
          </w:hyperlink>
        </w:p>
        <w:p>
          <w:pPr>
            <w:pStyle w:val="TOC2"/>
          </w:pPr>
          <w:hyperlink w:anchor="_Toc000000005" w:history="1">
            <w:r>
              <w:rPr>
                <w:rStyle w:val="Hyperlink"/>
                <w:rFonts w:ascii="Calibri" w:hAnsi="Calibri" w:cs="Calibri"/>
                <w:noProof/>
              </w:rPr>
              <w:t>2.1  Analysed Sources</w:t>
            </w:r>
            <w:r>
              <w:rPr>
                <w:noProof/>
                <w:webHidden/>
              </w:rPr>
              <w:tab/>
            </w:r>
            <w:r>
              <w:fldChar w:fldCharType="begin"/>
            </w:r>
            <w:r>
              <w:instrText xml:space="preserve"> PAGEREF _Toc000000005 \h </w:instrText>
            </w:r>
            <w:r>
              <w:rPr>
                <w:noProof/>
                <w:webHidden/>
              </w:rPr>
              <w:fldChar w:fldCharType="separate"/>
            </w:r>
            <w:r>
              <w:rPr>
                <w:noProof/>
                <w:webHidden/>
              </w:rPr>
              <w:t>1</w:t>
            </w:r>
            <w:r>
              <w:rPr>
                <w:noProof/>
                <w:webHidden/>
              </w:rPr>
              <w:fldChar w:fldCharType="end"/>
            </w:r>
          </w:hyperlink>
        </w:p>
        <w:p>
          <w:pPr>
            <w:pStyle w:val="TOC2"/>
          </w:pPr>
          <w:hyperlink w:anchor="_Toc000000006" w:history="1">
            <w:r>
              <w:rPr>
                <w:rStyle w:val="Hyperlink"/>
                <w:rFonts w:ascii="Calibri" w:hAnsi="Calibri" w:cs="Calibri"/>
                <w:noProof/>
              </w:rPr>
              <w:t>2.2  Classification Methodology</w:t>
            </w:r>
            <w:r>
              <w:rPr>
                <w:noProof/>
                <w:webHidden/>
              </w:rPr>
              <w:tab/>
            </w:r>
            <w:r>
              <w:fldChar w:fldCharType="begin"/>
            </w:r>
            <w:r>
              <w:instrText xml:space="preserve"> PAGEREF _Toc000000006 \h </w:instrText>
            </w:r>
            <w:r>
              <w:rPr>
                <w:noProof/>
                <w:webHidden/>
              </w:rPr>
              <w:fldChar w:fldCharType="separate"/>
            </w:r>
            <w:r>
              <w:rPr>
                <w:noProof/>
                <w:webHidden/>
              </w:rPr>
              <w:t>1</w:t>
            </w:r>
            <w:r>
              <w:rPr>
                <w:noProof/>
                <w:webHidden/>
              </w:rPr>
              <w:fldChar w:fldCharType="end"/>
            </w:r>
          </w:hyperlink>
        </w:p>
        <w:p>
          <w:pPr>
            <w:pStyle w:val="TOC2"/>
          </w:pPr>
          <w:hyperlink w:anchor="_Toc000000007" w:history="1">
            <w:r>
              <w:rPr>
                <w:rStyle w:val="Hyperlink"/>
                <w:rFonts w:ascii="Calibri" w:hAnsi="Calibri" w:cs="Calibri"/>
                <w:noProof/>
              </w:rPr>
              <w:t>2.3  Analysed Fields</w:t>
            </w:r>
            <w:r>
              <w:rPr>
                <w:noProof/>
                <w:webHidden/>
              </w:rPr>
              <w:tab/>
            </w:r>
            <w:r>
              <w:fldChar w:fldCharType="begin"/>
            </w:r>
            <w:r>
              <w:instrText xml:space="preserve"> PAGEREF _Toc000000007 \h </w:instrText>
            </w:r>
            <w:r>
              <w:rPr>
                <w:noProof/>
                <w:webHidden/>
              </w:rPr>
              <w:fldChar w:fldCharType="separate"/>
            </w:r>
            <w:r>
              <w:rPr>
                <w:noProof/>
                <w:webHidden/>
              </w:rPr>
              <w:t>1</w:t>
            </w:r>
            <w:r>
              <w:rPr>
                <w:noProof/>
                <w:webHidden/>
              </w:rPr>
              <w:fldChar w:fldCharType="end"/>
            </w:r>
          </w:hyperlink>
        </w:p>
        <w:p>
          <w:pPr>
            <w:pStyle w:val="TOC1"/>
          </w:pPr>
          <w:hyperlink w:anchor="_Toc000000008" w:history="1">
            <w:r>
              <w:rPr>
                <w:rStyle w:val="Hyperlink"/>
                <w:rFonts w:ascii="Calibri" w:hAnsi="Calibri" w:cs="Calibri"/>
                <w:noProof/>
              </w:rPr>
              <w:t>Section Three: Analysis One — Contact Type Classification Map</w:t>
            </w:r>
            <w:r>
              <w:rPr>
                <w:noProof/>
                <w:webHidden/>
              </w:rPr>
              <w:tab/>
            </w:r>
            <w:r>
              <w:fldChar w:fldCharType="begin"/>
            </w:r>
            <w:r>
              <w:instrText xml:space="preserve"> PAGEREF _Toc000000008 \h </w:instrText>
            </w:r>
            <w:r>
              <w:rPr>
                <w:noProof/>
                <w:webHidden/>
              </w:rPr>
              <w:fldChar w:fldCharType="separate"/>
            </w:r>
            <w:r>
              <w:rPr>
                <w:noProof/>
                <w:webHidden/>
              </w:rPr>
              <w:t>1</w:t>
            </w:r>
            <w:r>
              <w:rPr>
                <w:noProof/>
                <w:webHidden/>
              </w:rPr>
              <w:fldChar w:fldCharType="end"/>
            </w:r>
          </w:hyperlink>
        </w:p>
        <w:p>
          <w:pPr>
            <w:pStyle w:val="TOC2"/>
          </w:pPr>
          <w:hyperlink w:anchor="_Toc000000009" w:history="1">
            <w:r>
              <w:rPr>
                <w:rStyle w:val="Hyperlink"/>
                <w:rFonts w:ascii="Calibri" w:hAnsi="Calibri" w:cs="Calibri"/>
                <w:noProof/>
              </w:rPr>
              <w:t>3.1  Actual Contact Type Distribution</w:t>
            </w:r>
            <w:r>
              <w:rPr>
                <w:noProof/>
                <w:webHidden/>
              </w:rPr>
              <w:tab/>
            </w:r>
            <w:r>
              <w:fldChar w:fldCharType="begin"/>
            </w:r>
            <w:r>
              <w:instrText xml:space="preserve"> PAGEREF _Toc000000009 \h </w:instrText>
            </w:r>
            <w:r>
              <w:rPr>
                <w:noProof/>
                <w:webHidden/>
              </w:rPr>
              <w:fldChar w:fldCharType="separate"/>
            </w:r>
            <w:r>
              <w:rPr>
                <w:noProof/>
                <w:webHidden/>
              </w:rPr>
              <w:t>1</w:t>
            </w:r>
            <w:r>
              <w:rPr>
                <w:noProof/>
                <w:webHidden/>
              </w:rPr>
              <w:fldChar w:fldCharType="end"/>
            </w:r>
          </w:hyperlink>
        </w:p>
        <w:p>
          <w:pPr>
            <w:pStyle w:val="TOC2"/>
          </w:pPr>
          <w:hyperlink w:anchor="_Toc000000010" w:history="1">
            <w:r>
              <w:rPr>
                <w:rStyle w:val="Hyperlink"/>
                <w:rFonts w:ascii="Calibri" w:hAnsi="Calibri" w:cs="Calibri"/>
                <w:noProof/>
              </w:rPr>
              <w:t>3.2  Classification Accuracy — 84.0% of Cases Reclassified</w:t>
            </w:r>
            <w:r>
              <w:rPr>
                <w:noProof/>
                <w:webHidden/>
              </w:rPr>
              <w:tab/>
            </w:r>
            <w:r>
              <w:fldChar w:fldCharType="begin"/>
            </w:r>
            <w:r>
              <w:instrText xml:space="preserve"> PAGEREF _Toc000000010 \h </w:instrText>
            </w:r>
            <w:r>
              <w:rPr>
                <w:noProof/>
                <w:webHidden/>
              </w:rPr>
              <w:fldChar w:fldCharType="separate"/>
            </w:r>
            <w:r>
              <w:rPr>
                <w:noProof/>
                <w:webHidden/>
              </w:rPr>
              <w:t>1</w:t>
            </w:r>
            <w:r>
              <w:rPr>
                <w:noProof/>
                <w:webHidden/>
              </w:rPr>
              <w:fldChar w:fldCharType="end"/>
            </w:r>
          </w:hyperlink>
        </w:p>
        <w:p>
          <w:pPr>
            <w:pStyle w:val="TOC2"/>
          </w:pPr>
          <w:hyperlink w:anchor="_Toc000000011" w:history="1">
            <w:r>
              <w:rPr>
                <w:rStyle w:val="Hyperlink"/>
                <w:rFonts w:ascii="Calibri" w:hAnsi="Calibri" w:cs="Calibri"/>
                <w:noProof/>
              </w:rPr>
              <w:t>3.3  Complaints Breakdown (28 cases — 56.0%)</w:t>
            </w:r>
            <w:r>
              <w:rPr>
                <w:noProof/>
                <w:webHidden/>
              </w:rPr>
              <w:tab/>
            </w:r>
            <w:r>
              <w:fldChar w:fldCharType="begin"/>
            </w:r>
            <w:r>
              <w:instrText xml:space="preserve"> PAGEREF _Toc000000011 \h </w:instrText>
            </w:r>
            <w:r>
              <w:rPr>
                <w:noProof/>
                <w:webHidden/>
              </w:rPr>
              <w:fldChar w:fldCharType="separate"/>
            </w:r>
            <w:r>
              <w:rPr>
                <w:noProof/>
                <w:webHidden/>
              </w:rPr>
              <w:t>1</w:t>
            </w:r>
            <w:r>
              <w:rPr>
                <w:noProof/>
                <w:webHidden/>
              </w:rPr>
              <w:fldChar w:fldCharType="end"/>
            </w:r>
          </w:hyperlink>
        </w:p>
        <w:p>
          <w:pPr>
            <w:pStyle w:val="TOC2"/>
          </w:pPr>
          <w:hyperlink w:anchor="_Toc000000012" w:history="1">
            <w:r>
              <w:rPr>
                <w:rStyle w:val="Hyperlink"/>
                <w:rFonts w:ascii="Calibri" w:hAnsi="Calibri" w:cs="Calibri"/>
                <w:noProof/>
              </w:rPr>
              <w:t>3.4  Service Requests and Inquiries Breakdown</w:t>
            </w:r>
            <w:r>
              <w:rPr>
                <w:noProof/>
                <w:webHidden/>
              </w:rPr>
              <w:tab/>
            </w:r>
            <w:r>
              <w:fldChar w:fldCharType="begin"/>
            </w:r>
            <w:r>
              <w:instrText xml:space="preserve"> PAGEREF _Toc000000012 \h </w:instrText>
            </w:r>
            <w:r>
              <w:rPr>
                <w:noProof/>
                <w:webHidden/>
              </w:rPr>
              <w:fldChar w:fldCharType="separate"/>
            </w:r>
            <w:r>
              <w:rPr>
                <w:noProof/>
                <w:webHidden/>
              </w:rPr>
              <w:t>1</w:t>
            </w:r>
            <w:r>
              <w:rPr>
                <w:noProof/>
                <w:webHidden/>
              </w:rPr>
              <w:fldChar w:fldCharType="end"/>
            </w:r>
          </w:hyperlink>
        </w:p>
        <w:p>
          <w:pPr>
            <w:pStyle w:val="TOC2"/>
          </w:pPr>
          <w:hyperlink w:anchor="_Toc000000013" w:history="1">
            <w:r>
              <w:rPr>
                <w:rStyle w:val="Hyperlink"/>
                <w:rFonts w:ascii="Calibri" w:hAnsi="Calibri" w:cs="Calibri"/>
                <w:noProof/>
              </w:rPr>
              <w:t>3.5  Most Recurring Inquiries (8 cases — 16.0%) — the category with the highest potential for full digital self-service deflection</w:t>
            </w:r>
            <w:r>
              <w:rPr>
                <w:noProof/>
                <w:webHidden/>
              </w:rPr>
              <w:tab/>
            </w:r>
            <w:r>
              <w:fldChar w:fldCharType="begin"/>
            </w:r>
            <w:r>
              <w:instrText xml:space="preserve"> PAGEREF _Toc000000013 \h </w:instrText>
            </w:r>
            <w:r>
              <w:rPr>
                <w:noProof/>
                <w:webHidden/>
              </w:rPr>
              <w:fldChar w:fldCharType="separate"/>
            </w:r>
            <w:r>
              <w:rPr>
                <w:noProof/>
                <w:webHidden/>
              </w:rPr>
              <w:t>1</w:t>
            </w:r>
            <w:r>
              <w:rPr>
                <w:noProof/>
                <w:webHidden/>
              </w:rPr>
              <w:fldChar w:fldCharType="end"/>
            </w:r>
          </w:hyperlink>
        </w:p>
        <w:p>
          <w:pPr>
            <w:pStyle w:val="TOC1"/>
          </w:pPr>
          <w:hyperlink w:anchor="_Toc000000014" w:history="1">
            <w:r>
              <w:rPr>
                <w:rStyle w:val="Hyperlink"/>
                <w:rFonts w:ascii="Calibri" w:hAnsi="Calibri" w:cs="Calibri"/>
                <w:noProof/>
              </w:rPr>
              <w:t>Section Four: Analysis Two — Customer Journey Challenges</w:t>
            </w:r>
            <w:r>
              <w:rPr>
                <w:noProof/>
                <w:webHidden/>
              </w:rPr>
              <w:tab/>
            </w:r>
            <w:r>
              <w:fldChar w:fldCharType="begin"/>
            </w:r>
            <w:r>
              <w:instrText xml:space="preserve"> PAGEREF _Toc000000014 \h </w:instrText>
            </w:r>
            <w:r>
              <w:rPr>
                <w:noProof/>
                <w:webHidden/>
              </w:rPr>
              <w:fldChar w:fldCharType="separate"/>
            </w:r>
            <w:r>
              <w:rPr>
                <w:noProof/>
                <w:webHidden/>
              </w:rPr>
              <w:t>1</w:t>
            </w:r>
            <w:r>
              <w:rPr>
                <w:noProof/>
                <w:webHidden/>
              </w:rPr>
              <w:fldChar w:fldCharType="end"/>
            </w:r>
          </w:hyperlink>
        </w:p>
        <w:p>
          <w:pPr>
            <w:pStyle w:val="TOC1"/>
          </w:pPr>
          <w:hyperlink w:anchor="_Toc000000015" w:history="1">
            <w:r>
              <w:rPr>
                <w:rStyle w:val="Hyperlink"/>
                <w:rFonts w:ascii="Calibri" w:hAnsi="Calibri" w:cs="Calibri"/>
                <w:noProof/>
              </w:rPr>
              <w:t>Section Five: Analysis Three — Digital Gaps Analysis</w:t>
            </w:r>
            <w:r>
              <w:rPr>
                <w:noProof/>
                <w:webHidden/>
              </w:rPr>
              <w:tab/>
            </w:r>
            <w:r>
              <w:fldChar w:fldCharType="begin"/>
            </w:r>
            <w:r>
              <w:instrText xml:space="preserve"> PAGEREF _Toc000000015 \h </w:instrText>
            </w:r>
            <w:r>
              <w:rPr>
                <w:noProof/>
                <w:webHidden/>
              </w:rPr>
              <w:fldChar w:fldCharType="separate"/>
            </w:r>
            <w:r>
              <w:rPr>
                <w:noProof/>
                <w:webHidden/>
              </w:rPr>
              <w:t>1</w:t>
            </w:r>
            <w:r>
              <w:rPr>
                <w:noProof/>
                <w:webHidden/>
              </w:rPr>
              <w:fldChar w:fldCharType="end"/>
            </w:r>
          </w:hyperlink>
        </w:p>
        <w:p>
          <w:pPr>
            <w:pStyle w:val="TOC2"/>
          </w:pPr>
          <w:hyperlink w:anchor="_Toc000000016" w:history="1">
            <w:r>
              <w:rPr>
                <w:rStyle w:val="Hyperlink"/>
                <w:rFonts w:ascii="Calibri" w:hAnsi="Calibri" w:cs="Calibri"/>
                <w:noProof/>
              </w:rPr>
              <w:t>5.1  Consolidated Gaps Table</w:t>
            </w:r>
            <w:r>
              <w:rPr>
                <w:noProof/>
                <w:webHidden/>
              </w:rPr>
              <w:tab/>
            </w:r>
            <w:r>
              <w:fldChar w:fldCharType="begin"/>
            </w:r>
            <w:r>
              <w:instrText xml:space="preserve"> PAGEREF _Toc000000016 \h </w:instrText>
            </w:r>
            <w:r>
              <w:rPr>
                <w:noProof/>
                <w:webHidden/>
              </w:rPr>
              <w:fldChar w:fldCharType="separate"/>
            </w:r>
            <w:r>
              <w:rPr>
                <w:noProof/>
                <w:webHidden/>
              </w:rPr>
              <w:t>1</w:t>
            </w:r>
            <w:r>
              <w:rPr>
                <w:noProof/>
                <w:webHidden/>
              </w:rPr>
              <w:fldChar w:fldCharType="end"/>
            </w:r>
          </w:hyperlink>
        </w:p>
        <w:p>
          <w:pPr>
            <w:pStyle w:val="TOC2"/>
          </w:pPr>
          <w:hyperlink w:anchor="_Toc000000017" w:history="1">
            <w:r>
              <w:rPr>
                <w:rStyle w:val="Hyperlink"/>
                <w:rFonts w:ascii="Calibri" w:hAnsi="Calibri" w:cs="Calibri"/>
                <w:noProof/>
              </w:rPr>
              <w:t>5.2  Root Causes of Continued Issues</w:t>
            </w:r>
            <w:r>
              <w:rPr>
                <w:noProof/>
                <w:webHidden/>
              </w:rPr>
              <w:tab/>
            </w:r>
            <w:r>
              <w:fldChar w:fldCharType="begin"/>
            </w:r>
            <w:r>
              <w:instrText xml:space="preserve"> PAGEREF _Toc000000017 \h </w:instrText>
            </w:r>
            <w:r>
              <w:rPr>
                <w:noProof/>
                <w:webHidden/>
              </w:rPr>
              <w:fldChar w:fldCharType="separate"/>
            </w:r>
            <w:r>
              <w:rPr>
                <w:noProof/>
                <w:webHidden/>
              </w:rPr>
              <w:t>1</w:t>
            </w:r>
            <w:r>
              <w:rPr>
                <w:noProof/>
                <w:webHidden/>
              </w:rPr>
              <w:fldChar w:fldCharType="end"/>
            </w:r>
          </w:hyperlink>
        </w:p>
        <w:p>
          <w:pPr>
            <w:pStyle w:val="TOC1"/>
          </w:pPr>
          <w:hyperlink w:anchor="_Toc000000018" w:history="1">
            <w:r>
              <w:rPr>
                <w:rStyle w:val="Hyperlink"/>
                <w:rFonts w:ascii="Calibri" w:hAnsi="Calibri" w:cs="Calibri"/>
                <w:noProof/>
              </w:rPr>
              <w:t>Section Six: Analysis Four — Digital Transformation Plan</w:t>
            </w:r>
            <w:r>
              <w:rPr>
                <w:noProof/>
                <w:webHidden/>
              </w:rPr>
              <w:tab/>
            </w:r>
            <w:r>
              <w:fldChar w:fldCharType="begin"/>
            </w:r>
            <w:r>
              <w:instrText xml:space="preserve"> PAGEREF _Toc000000018 \h </w:instrText>
            </w:r>
            <w:r>
              <w:rPr>
                <w:noProof/>
                <w:webHidden/>
              </w:rPr>
              <w:fldChar w:fldCharType="separate"/>
            </w:r>
            <w:r>
              <w:rPr>
                <w:noProof/>
                <w:webHidden/>
              </w:rPr>
              <w:t>1</w:t>
            </w:r>
            <w:r>
              <w:rPr>
                <w:noProof/>
                <w:webHidden/>
              </w:rPr>
              <w:fldChar w:fldCharType="end"/>
            </w:r>
          </w:hyperlink>
        </w:p>
        <w:p>
          <w:pPr>
            <w:pStyle w:val="TOC2"/>
          </w:pPr>
          <w:hyperlink w:anchor="_Toc000000019" w:history="1">
            <w:r>
              <w:rPr>
                <w:rStyle w:val="Hyperlink"/>
                <w:rFonts w:ascii="Calibri" w:hAnsi="Calibri" w:cs="Calibri"/>
                <w:noProof/>
              </w:rPr>
              <w:t>6.1  Priority FAQs</w:t>
            </w:r>
            <w:r>
              <w:rPr>
                <w:noProof/>
                <w:webHidden/>
              </w:rPr>
              <w:tab/>
            </w:r>
            <w:r>
              <w:fldChar w:fldCharType="begin"/>
            </w:r>
            <w:r>
              <w:instrText xml:space="preserve"> PAGEREF _Toc000000019 \h </w:instrText>
            </w:r>
            <w:r>
              <w:rPr>
                <w:noProof/>
                <w:webHidden/>
              </w:rPr>
              <w:fldChar w:fldCharType="separate"/>
            </w:r>
            <w:r>
              <w:rPr>
                <w:noProof/>
                <w:webHidden/>
              </w:rPr>
              <w:t>1</w:t>
            </w:r>
            <w:r>
              <w:rPr>
                <w:noProof/>
                <w:webHidden/>
              </w:rPr>
              <w:fldChar w:fldCharType="end"/>
            </w:r>
          </w:hyperlink>
        </w:p>
        <w:p>
          <w:pPr>
            <w:pStyle w:val="TOC2"/>
          </w:pPr>
          <w:hyperlink w:anchor="_Toc000000020" w:history="1">
            <w:r>
              <w:rPr>
                <w:rStyle w:val="Hyperlink"/>
                <w:rFonts w:ascii="Calibri" w:hAnsi="Calibri" w:cs="Calibri"/>
                <w:noProof/>
              </w:rPr>
              <w:t>6.2  Pathway to Eliminating 12+ Contact Cases via Proactive Notification</w:t>
            </w:r>
            <w:r>
              <w:rPr>
                <w:noProof/>
                <w:webHidden/>
              </w:rPr>
              <w:tab/>
            </w:r>
            <w:r>
              <w:fldChar w:fldCharType="begin"/>
            </w:r>
            <w:r>
              <w:instrText xml:space="preserve"> PAGEREF _Toc000000020 \h </w:instrText>
            </w:r>
            <w:r>
              <w:rPr>
                <w:noProof/>
                <w:webHidden/>
              </w:rPr>
              <w:fldChar w:fldCharType="separate"/>
            </w:r>
            <w:r>
              <w:rPr>
                <w:noProof/>
                <w:webHidden/>
              </w:rPr>
              <w:t>1</w:t>
            </w:r>
            <w:r>
              <w:rPr>
                <w:noProof/>
                <w:webHidden/>
              </w:rPr>
              <w:fldChar w:fldCharType="end"/>
            </w:r>
          </w:hyperlink>
        </w:p>
        <w:p>
          <w:pPr>
            <w:pStyle w:val="TOC1"/>
          </w:pPr>
          <w:hyperlink w:anchor="_Toc000000021" w:history="1">
            <w:r>
              <w:rPr>
                <w:rStyle w:val="Hyperlink"/>
                <w:rFonts w:ascii="Calibri" w:hAnsi="Calibri" w:cs="Calibri"/>
                <w:noProof/>
              </w:rPr>
              <w:t>Section Seven: AI-Powered Use Cases</w:t>
            </w:r>
            <w:r>
              <w:rPr>
                <w:noProof/>
                <w:webHidden/>
              </w:rPr>
              <w:tab/>
            </w:r>
            <w:r>
              <w:fldChar w:fldCharType="begin"/>
            </w:r>
            <w:r>
              <w:instrText xml:space="preserve"> PAGEREF _Toc000000021 \h </w:instrText>
            </w:r>
            <w:r>
              <w:rPr>
                <w:noProof/>
                <w:webHidden/>
              </w:rPr>
              <w:fldChar w:fldCharType="separate"/>
            </w:r>
            <w:r>
              <w:rPr>
                <w:noProof/>
                <w:webHidden/>
              </w:rPr>
              <w:t>1</w:t>
            </w:r>
            <w:r>
              <w:rPr>
                <w:noProof/>
                <w:webHidden/>
              </w:rPr>
              <w:fldChar w:fldCharType="end"/>
            </w:r>
          </w:hyperlink>
        </w:p>
        <w:p>
          <w:pPr>
            <w:pStyle w:val="TOC1"/>
          </w:pPr>
          <w:hyperlink w:anchor="_Toc000000022" w:history="1">
            <w:r>
              <w:rPr>
                <w:rStyle w:val="Hyperlink"/>
                <w:rFonts w:ascii="Calibri" w:hAnsi="Calibri" w:cs="Calibri"/>
                <w:noProof/>
              </w:rPr>
              <w:t>Section Eight: Proposed Improvement Roadmap</w:t>
            </w:r>
            <w:r>
              <w:rPr>
                <w:noProof/>
                <w:webHidden/>
              </w:rPr>
              <w:tab/>
            </w:r>
            <w:r>
              <w:fldChar w:fldCharType="begin"/>
            </w:r>
            <w:r>
              <w:instrText xml:space="preserve"> PAGEREF _Toc000000022 \h </w:instrText>
            </w:r>
            <w:r>
              <w:rPr>
                <w:noProof/>
                <w:webHidden/>
              </w:rPr>
              <w:fldChar w:fldCharType="separate"/>
            </w:r>
            <w:r>
              <w:rPr>
                <w:noProof/>
                <w:webHidden/>
              </w:rPr>
              <w:t>1</w:t>
            </w:r>
            <w:r>
              <w:rPr>
                <w:noProof/>
                <w:webHidden/>
              </w:rPr>
              <w:fldChar w:fldCharType="end"/>
            </w:r>
          </w:hyperlink>
        </w:p>
        <w:p>
          <w:pPr>
            <w:pStyle w:val="TOC1"/>
          </w:pPr>
          <w:hyperlink w:anchor="_Toc000000023" w:history="1">
            <w:r>
              <w:rPr>
                <w:rStyle w:val="Hyperlink"/>
                <w:rFonts w:ascii="Calibri" w:hAnsi="Calibri" w:cs="Calibri"/>
                <w:noProof/>
              </w:rPr>
              <w:t>Section Nine: Conclusion — From Data to Decision</w:t>
            </w:r>
            <w:r>
              <w:rPr>
                <w:noProof/>
                <w:webHidden/>
              </w:rPr>
              <w:tab/>
            </w:r>
            <w:r>
              <w:fldChar w:fldCharType="begin"/>
            </w:r>
            <w:r>
              <w:instrText xml:space="preserve"> PAGEREF _Toc000000023 \h </w:instrText>
            </w:r>
            <w:r>
              <w:rPr>
                <w:noProof/>
                <w:webHidden/>
              </w:rPr>
              <w:fldChar w:fldCharType="separate"/>
            </w:r>
            <w:r>
              <w:rPr>
                <w:noProof/>
                <w:webHidden/>
              </w:rPr>
              <w:t>1</w:t>
            </w:r>
            <w:r>
              <w:rPr>
                <w:noProof/>
                <w:webHidden/>
              </w:rPr>
              <w:fldChar w:fldCharType="end"/>
            </w:r>
          </w:hyperlink>
        </w:p>
        <w:p>
          <w:pPr>
            <w:pStyle w:val="TOC2"/>
          </w:pPr>
          <w:hyperlink w:anchor="_Toc000000024" w:history="1">
            <w:r>
              <w:rPr>
                <w:rStyle w:val="Hyperlink"/>
                <w:rFonts w:ascii="Calibri" w:hAnsi="Calibri" w:cs="Calibri"/>
                <w:noProof/>
              </w:rPr>
              <w:t>Three Transformation Pillars</w:t>
            </w:r>
            <w:r>
              <w:rPr>
                <w:noProof/>
                <w:webHidden/>
              </w:rPr>
              <w:tab/>
            </w:r>
            <w:r>
              <w:fldChar w:fldCharType="begin"/>
            </w:r>
            <w:r>
              <w:instrText xml:space="preserve"> PAGEREF _Toc000000024 \h </w:instrText>
            </w:r>
            <w:r>
              <w:rPr>
                <w:noProof/>
                <w:webHidden/>
              </w:rPr>
              <w:fldChar w:fldCharType="separate"/>
            </w:r>
            <w:r>
              <w:rPr>
                <w:noProof/>
                <w:webHidden/>
              </w:rPr>
              <w:t>1</w:t>
            </w:r>
            <w:r>
              <w:rPr>
                <w:noProof/>
                <w:webHidden/>
              </w:rPr>
              <w:fldChar w:fldCharType="end"/>
            </w:r>
          </w:hyperlink>
        </w:p>
        <w:p>
          <w:pPr>
            <w:pStyle w:val="TOC2"/>
          </w:pPr>
          <w:hyperlink w:anchor="_Toc000000025" w:history="1">
            <w:r>
              <w:rPr>
                <w:rStyle w:val="Hyperlink"/>
                <w:rFonts w:ascii="Calibri" w:hAnsi="Calibri" w:cs="Calibri"/>
                <w:noProof/>
              </w:rPr>
              <w:t>Expected Aggregate Impact:</w:t>
            </w:r>
            <w:r>
              <w:rPr>
                <w:noProof/>
                <w:webHidden/>
              </w:rPr>
              <w:tab/>
            </w:r>
            <w:r>
              <w:fldChar w:fldCharType="begin"/>
            </w:r>
            <w:r>
              <w:instrText xml:space="preserve"> PAGEREF _Toc000000025 \h </w:instrText>
            </w:r>
            <w:r>
              <w:rPr>
                <w:noProof/>
                <w:webHidden/>
              </w:rPr>
              <w:fldChar w:fldCharType="separate"/>
            </w:r>
            <w:r>
              <w:rPr>
                <w:noProof/>
                <w:webHidden/>
              </w:rPr>
              <w:t>1</w:t>
            </w:r>
            <w:r>
              <w:rPr>
                <w:noProof/>
                <w:webHidden/>
              </w:rPr>
              <w:fldChar w:fldCharType="end"/>
            </w:r>
          </w:hyperlink>
          <w:r>
            <w:fldChar w:fldCharType="end"/>
          </w:r>
        </w:p>
      </w:sdtContent>
    </w:sdt>
    <w:p>
      <w:r>
        <w:br w:type="page"/>
      </w:r>
    </w:p>
    <w:p>
      <w:pPr>
        <w:pStyle w:val="Heading1"/>
        <w:jc w:val="left"/>
      </w:pPr>
      <w:r>
        <w:rPr>
          <w:rFonts w:ascii="Calibri" w:hAnsi="Calibri" w:eastAsia="Calibri" w:cs="Calibri"/>
          <w:b/>
          <w:color w:val="B68A35"/>
          <w:sz w:val="32"/>
          <w:szCs w:val="32"/>
        </w:rPr>
        <w:t>Section One: Executive Summary — Key Analyses</w:t>
      </w:r>
      <w:bookmarkStart w:id="2" w:name="_Toc000000002"/>
      <w:bookmarkEnd w:id="2"/>
    </w:p>
    <w:p>
      <w:pPr>
        <w:spacing w:after="120"/>
        <w:jc w:val="both"/>
      </w:pPr>
      <w:r>
        <w:rPr>
          <w:rFonts w:ascii="Calibri" w:hAnsi="Calibri" w:eastAsia="Calibri" w:cs="Calibri"/>
          <w:b w:val="0"/>
          <w:i w:val="0"/>
          <w:color w:val="000000"/>
          <w:sz w:val="24"/>
          <w:szCs w:val="24"/>
          <w:u w:val="none"/>
        </w:rPr>
        <w:t>This report presents an in-depth analysis of 50 inquiry cases extracted from a CRM system export, supported by a service guide and FAQ reference, covering the period from January to December 2025. Its objective is to convert raw data into actionable operational decisions rather than merely presenting figures. Key finding: reclassification revealed that 84.0% of cases had been incorrectly categorised, thereby concealing the fact that complaints constitute 56.0% of the actual workload — a structural deficiency in understanding the nature of interactions that had been obscuring the true priorities for improvement.</w:t>
      </w:r>
    </w:p>
    <w:p>
      <w:pPr>
        <w:pStyle w:val="Heading2"/>
        <w:jc w:val="left"/>
      </w:pPr>
      <w:r>
        <w:rPr>
          <w:rFonts w:ascii="Calibri" w:hAnsi="Calibri" w:eastAsia="Calibri" w:cs="Calibri"/>
          <w:b/>
          <w:color w:val="B68A35"/>
          <w:sz w:val="26"/>
          <w:szCs w:val="26"/>
        </w:rPr>
        <w:t>Key Findings</w:t>
      </w:r>
      <w:bookmarkStart w:id="3" w:name="_Toc000000003"/>
      <w:bookmarkEnd w:id="3"/>
    </w:p>
    <w:p>
      <w:pPr>
        <w:spacing w:after="120"/>
        <w:jc w:val="both"/>
      </w:pPr>
      <w:r>
        <w:rPr>
          <w:rFonts w:ascii="Calibri" w:hAnsi="Calibri" w:eastAsia="Calibri" w:cs="Calibri"/>
          <w:b w:val="0"/>
          <w:i w:val="0"/>
          <w:color w:val="000000"/>
          <w:sz w:val="24"/>
          <w:szCs w:val="24"/>
          <w:u w:val="none"/>
        </w:rPr>
        <w:t>Core message: The convergence of an 84.0% misclassification rate with 7 documented friction points reveals that the system is treating visible symptoms while root causes remain unaddressed — which explains how 28 cases became actual complaints despite a 98.0% on-time closure rate. Addressing these structural gaps — particularly activating proactive notifications at 4 friction points and resolving the technical defect related to vehicle images in violation notices — would enable a substantial portion of complaints to be converted into seamless service experiences without requiring human intervention. Investment in classification accuracy and digital notification integration is not merely an operational improvement; it is the foundation of a data-driven strategy that empowers leadership to make proactive decisions rather than reactive responses.</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Finding</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Description</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Importance Level</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84.0% Inaccurate Classification</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42 out of 50 cases were originally classified incorrectly. This gap is the foundation of the operational challenges identified in this analysis.</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Complaints dominate workload at 56.0%</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28 out of 50 cases were complaints following reclassification. This concentration reflects the primary focus area for operational improvement.</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Single friction point: Vehicle image in violation notice displays a different vehicle or non-matching plate, forcing the customer to contact support manually to correct the error (9 cases, 18.0%)</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This point affects 9 cases (18.0% of the total). Root cause: technical platform defect.</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 friction points — absence of proactive notification (8 cases)</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Three friction points share a common root cause: the customer does not receive a notification or tracking link when ownership documents or a licence are dispatched via Emirates Post, and therefore contacts support to check the status; the absence of automatic status notifications for submitted requests forces customers to open follow-up complaints; the customer submits a weapons licence application and receives no update or response for several months, compelling them to contact support. Total affected cases: 8. Improving this cluster will contribute significantly to reducing friction.</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High</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98.0% on-time closure</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49 out of 50 cases were closed on time (98.0% rate). This confirms operational capability but does not address the structural gaps in accuracy and understanding.</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Positive</w:t>
            </w:r>
          </w:p>
        </w:tc>
      </w:tr>
    </w:tbl>
    <w:p/>
    <w:p>
      <w:pPr>
        <w:pStyle w:val="Heading1"/>
        <w:jc w:val="left"/>
      </w:pPr>
      <w:r>
        <w:rPr>
          <w:rFonts w:ascii="Calibri" w:hAnsi="Calibri" w:eastAsia="Calibri" w:cs="Calibri"/>
          <w:b/>
          <w:color w:val="B68A35"/>
          <w:sz w:val="32"/>
          <w:szCs w:val="32"/>
        </w:rPr>
        <w:t>Section Two: Methodology and Source Nature</w:t>
      </w:r>
      <w:bookmarkStart w:id="4" w:name="_Toc000000004"/>
      <w:bookmarkEnd w:id="4"/>
    </w:p>
    <w:p>
      <w:pPr>
        <w:pStyle w:val="Heading2"/>
        <w:jc w:val="left"/>
      </w:pPr>
      <w:r>
        <w:rPr>
          <w:rFonts w:ascii="Calibri" w:hAnsi="Calibri" w:eastAsia="Calibri" w:cs="Calibri"/>
          <w:b/>
          <w:color w:val="B68A35"/>
          <w:sz w:val="26"/>
          <w:szCs w:val="26"/>
        </w:rPr>
        <w:t>2.1  Analysed Sources</w:t>
      </w:r>
      <w:bookmarkStart w:id="5" w:name="_Toc000000005"/>
      <w:bookmarkEnd w:id="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Source</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Nature</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Volume</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Period</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 Analysis</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CRM data — unstructured text (case details, resolutions, service names, case descriptions)</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49 cases</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January - December 2025</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 Service Guide</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Covers traffic and licensing services, police services, correctional and rehabilitation institution services, operations management, proactive services, and 2 more, with FAQ verification and gap analysis</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160 pages, 9 validated FAQs</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2025</w:t>
            </w:r>
          </w:p>
        </w:tc>
      </w:tr>
    </w:tbl>
    <w:p/>
    <w:p>
      <w:pPr>
        <w:pStyle w:val="Heading2"/>
        <w:jc w:val="left"/>
      </w:pPr>
      <w:r>
        <w:rPr>
          <w:rFonts w:ascii="Calibri" w:hAnsi="Calibri" w:eastAsia="Calibri" w:cs="Calibri"/>
          <w:b/>
          <w:color w:val="B68A35"/>
          <w:sz w:val="26"/>
          <w:szCs w:val="26"/>
        </w:rPr>
        <w:t>2.2  Classification Methodology</w:t>
      </w:r>
      <w:bookmarkStart w:id="6" w:name="_Toc000000006"/>
      <w:bookmarkEnd w:id="6"/>
    </w:p>
    <w:p>
      <w:pPr>
        <w:spacing w:after="120"/>
        <w:jc w:val="both"/>
      </w:pPr>
      <w:r>
        <w:rPr>
          <w:rFonts w:ascii="Calibri" w:hAnsi="Calibri" w:eastAsia="Calibri" w:cs="Calibri"/>
          <w:b w:val="0"/>
          <w:i w:val="0"/>
          <w:color w:val="000000"/>
          <w:sz w:val="24"/>
          <w:szCs w:val="24"/>
          <w:u w:val="none"/>
        </w:rPr>
        <w:t>The analysis relies on a four-level decision tree in which the nature of the requirement — not the phrasing — is the determining criterion. Each case is subjected to two sequential tests:</w:t>
      </w:r>
    </w:p>
    <w:p>
      <w:pPr>
        <w:spacing w:after="120"/>
        <w:jc w:val="both"/>
      </w:pPr>
      <w:r>
        <w:rPr>
          <w:rFonts w:ascii="Calibri" w:hAnsi="Calibri" w:eastAsia="Calibri" w:cs="Calibri"/>
          <w:b w:val="0"/>
          <w:i w:val="0"/>
          <w:color w:val="000000"/>
          <w:sz w:val="24"/>
          <w:szCs w:val="24"/>
          <w:u w:val="none"/>
        </w:rPr>
        <w:t>(1) First test: Does the text express dissatisfaction, report a failure, or express a wish to file a formal report or objection?</w:t>
      </w:r>
    </w:p>
    <w:p>
      <w:pPr>
        <w:spacing w:after="120"/>
        <w:jc w:val="both"/>
      </w:pPr>
      <w:r>
        <w:rPr>
          <w:rFonts w:ascii="Calibri" w:hAnsi="Calibri" w:eastAsia="Calibri" w:cs="Calibri"/>
          <w:b w:val="0"/>
          <w:i w:val="0"/>
          <w:color w:val="000000"/>
          <w:sz w:val="24"/>
          <w:szCs w:val="24"/>
          <w:u w:val="none"/>
        </w:rPr>
        <w:t>(2) Second test: Does the text request the execution of a specific action — such as service delivery, follow-up on a request, or data amendment — rather than merely seeking information?</w:t>
      </w:r>
    </w:p>
    <w:p>
      <w:pPr>
        <w:spacing w:after="120"/>
        <w:jc w:val="both"/>
      </w:pPr>
      <w:r>
        <w:rPr>
          <w:rFonts w:ascii="Calibri" w:hAnsi="Calibri" w:eastAsia="Calibri" w:cs="Calibri"/>
          <w:b w:val="0"/>
          <w:i w:val="0"/>
          <w:color w:val="000000"/>
          <w:sz w:val="24"/>
          <w:szCs w:val="24"/>
          <w:u w:val="none"/>
        </w:rPr>
        <w:t>Classification rules:</w:t>
      </w:r>
    </w:p>
    <w:p>
      <w:pPr>
        <w:spacing w:after="120"/>
        <w:jc w:val="both"/>
      </w:pPr>
      <w:r>
        <w:rPr>
          <w:rFonts w:ascii="Calibri" w:hAnsi="Calibri" w:eastAsia="Calibri" w:cs="Calibri"/>
          <w:b w:val="0"/>
          <w:i w:val="0"/>
          <w:color w:val="000000"/>
          <w:sz w:val="24"/>
          <w:szCs w:val="24"/>
          <w:u w:val="none"/>
        </w:rPr>
        <w:t>→ If the answer to the first is yes: Complaint (even if the text also contains a request for action);</w:t>
      </w:r>
    </w:p>
    <w:p>
      <w:pPr>
        <w:spacing w:after="120"/>
        <w:jc w:val="both"/>
      </w:pPr>
      <w:r>
        <w:rPr>
          <w:rFonts w:ascii="Calibri" w:hAnsi="Calibri" w:eastAsia="Calibri" w:cs="Calibri"/>
          <w:b w:val="0"/>
          <w:i w:val="0"/>
          <w:color w:val="000000"/>
          <w:sz w:val="24"/>
          <w:szCs w:val="24"/>
          <w:u w:val="none"/>
        </w:rPr>
        <w:t>→ If the answer to the second only is yes: Request (without the purpose being to report a problem);</w:t>
      </w:r>
    </w:p>
    <w:p>
      <w:pPr>
        <w:spacing w:after="120"/>
        <w:jc w:val="both"/>
      </w:pPr>
      <w:r>
        <w:rPr>
          <w:rFonts w:ascii="Calibri" w:hAnsi="Calibri" w:eastAsia="Calibri" w:cs="Calibri"/>
          <w:b w:val="0"/>
          <w:i w:val="0"/>
          <w:color w:val="000000"/>
          <w:sz w:val="24"/>
          <w:szCs w:val="24"/>
          <w:u w:val="none"/>
        </w:rPr>
        <w:t>→ If the purpose is a question or enquiry about information: Inquiry;</w:t>
      </w:r>
    </w:p>
    <w:p>
      <w:pPr>
        <w:spacing w:after="120"/>
        <w:jc w:val="both"/>
      </w:pPr>
      <w:r>
        <w:rPr>
          <w:rFonts w:ascii="Calibri" w:hAnsi="Calibri" w:eastAsia="Calibri" w:cs="Calibri"/>
          <w:b w:val="0"/>
          <w:i w:val="0"/>
          <w:color w:val="000000"/>
          <w:sz w:val="24"/>
          <w:szCs w:val="24"/>
          <w:u w:val="none"/>
        </w:rPr>
        <w:t>→ If the expression conveys satisfaction and praise: Compliment.</w:t>
      </w:r>
    </w:p>
    <w:p>
      <w:pPr>
        <w:pStyle w:val="Heading2"/>
        <w:jc w:val="left"/>
      </w:pPr>
      <w:r>
        <w:rPr>
          <w:rFonts w:ascii="Calibri" w:hAnsi="Calibri" w:eastAsia="Calibri" w:cs="Calibri"/>
          <w:b/>
          <w:color w:val="B68A35"/>
          <w:sz w:val="26"/>
          <w:szCs w:val="26"/>
        </w:rPr>
        <w:t>2.3  Analysed Fields</w:t>
      </w:r>
      <w:bookmarkStart w:id="7" w:name="_Toc000000007"/>
      <w:bookmarkEnd w:id="7"/>
    </w:p>
    <w:p>
      <w:pPr>
        <w:spacing w:after="120"/>
        <w:jc w:val="both"/>
      </w:pPr>
      <w:r>
        <w:rPr>
          <w:rFonts w:ascii="Calibri" w:hAnsi="Calibri" w:eastAsia="Calibri" w:cs="Calibri"/>
          <w:b w:val="0"/>
          <w:i w:val="0"/>
          <w:color w:val="000000"/>
          <w:sz w:val="24"/>
          <w:szCs w:val="24"/>
          <w:u w:val="none"/>
        </w:rPr>
        <w:t>Structured fields used in the analysis: request number, main service, original call type, request status, communication channel, and responsible department. Unstructured fields — the focus of this analysis: request details and processing response. These two fields reveal the true nature of each case beyond the formal classification recorded in the system.</w:t>
      </w:r>
    </w:p>
    <w:p>
      <w:pPr>
        <w:pStyle w:val="Heading1"/>
        <w:jc w:val="left"/>
      </w:pPr>
      <w:r>
        <w:rPr>
          <w:rFonts w:ascii="Calibri" w:hAnsi="Calibri" w:eastAsia="Calibri" w:cs="Calibri"/>
          <w:b/>
          <w:color w:val="B68A35"/>
          <w:sz w:val="32"/>
          <w:szCs w:val="32"/>
        </w:rPr>
        <w:t>Section Three: Analysis One — Contact Type Classification Map</w:t>
      </w:r>
      <w:bookmarkStart w:id="8" w:name="_Toc000000008"/>
      <w:bookmarkEnd w:id="8"/>
    </w:p>
    <w:p>
      <w:pPr>
        <w:pStyle w:val="Heading2"/>
        <w:jc w:val="left"/>
      </w:pPr>
      <w:r>
        <w:rPr>
          <w:rFonts w:ascii="Calibri" w:hAnsi="Calibri" w:eastAsia="Calibri" w:cs="Calibri"/>
          <w:b/>
          <w:color w:val="B68A35"/>
          <w:sz w:val="26"/>
          <w:szCs w:val="26"/>
        </w:rPr>
        <w:t>3.1  Actual Contact Type Distribution</w:t>
      </w:r>
      <w:bookmarkStart w:id="9" w:name="_Toc000000009"/>
      <w:bookmarkEnd w:id="9"/>
    </w:p>
    <w:p>
      <w:pPr>
        <w:spacing w:after="120"/>
        <w:jc w:val="both"/>
      </w:pPr>
      <w:r>
        <w:rPr>
          <w:rFonts w:ascii="Calibri" w:hAnsi="Calibri" w:eastAsia="Calibri" w:cs="Calibri"/>
          <w:b w:val="0"/>
          <w:i w:val="0"/>
          <w:color w:val="000000"/>
          <w:sz w:val="24"/>
          <w:szCs w:val="24"/>
          <w:u w:val="none"/>
        </w:rPr>
        <w:t>Analysis of 50 cases in January - December 2025 revealed that accurate classification of the actual content of each contact produces a picture entirely different from that shown by the original system, with discrepancies exceeding minor adjustments to reach the level of a complete restructuring of the nature of the workload. The key shift: the true dominant category is 'Complaint' with 28 cases representing 56.0% of total contacts, compared to an original classification that had recorded all 50 cases under the 'Inquiry' category prior to correction.</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Contact Type</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Count</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Percentage</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Classification Change</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Digital Deflection Potential</w:t>
            </w:r>
          </w:p>
        </w:tc>
      </w:tr>
      <w:tr>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28</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56.0%</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+28 (was zero in original file)</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Dedicated digital channel — complaints portal / incident tracking in app</w:t>
            </w:r>
          </w:p>
        </w:tc>
      </w:tr>
      <w:tr>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Request</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14</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28.0%</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+14 (was zero in original file)</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Requires a staff member with system authorisation</w:t>
            </w:r>
          </w:p>
        </w:tc>
      </w:tr>
      <w:tr>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8</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16.0%</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−42 from original</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Full deflection — chatbot / FAQ / IVR / website</w:t>
            </w:r>
          </w:p>
        </w:tc>
      </w:tr>
      <w:tr>
        <w:tc>
          <w:tcPr>
            <w:tcW w:type="dxa" w:w="1872"/>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Compliment</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0</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0.0%</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No change</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Automatic documentation — no action required</w:t>
            </w:r>
          </w:p>
        </w:tc>
      </w:tr>
    </w:tbl>
    <w:p/>
    <w:p>
      <w:pPr>
        <w:jc w:val="center"/>
      </w:pPr>
      <w:r>
        <w:drawing>
          <wp:inline distT="0" distB="0" distL="0" distR="0">
            <wp:extent cx="5040000" cy="3240000"/>
            <wp:effectExtent l="0" t="0" r="0" b="0"/>
            <wp:docPr id="102" name="Chart 1" descr="Chart 1"/>
            <wp:cNvGraphicFramePr>
              <a:graphicFrameLocks noChangeAspect="1"/>
            </wp:cNvGraphicFramePr>
            <a:graphic>
              <a:graphicData uri="http://schemas.openxmlformats.org/drawingml/2006/chart">
                <c:chart r:id="rId12"/>
              </a:graphicData>
            </a:graphic>
          </wp:inline>
        </w:drawing>
      </w:r>
    </w:p>
    <w:p/>
    <w:p>
      <w:pPr>
        <w:pStyle w:val="Heading2"/>
        <w:jc w:val="left"/>
      </w:pPr>
      <w:r>
        <w:rPr>
          <w:rFonts w:ascii="Calibri" w:hAnsi="Calibri" w:eastAsia="Calibri" w:cs="Calibri"/>
          <w:b/>
          <w:color w:val="B68A35"/>
          <w:sz w:val="26"/>
          <w:szCs w:val="26"/>
        </w:rPr>
        <w:t>3.2  Classification Accuracy — 84.0% of Cases Reclassified</w:t>
      </w:r>
      <w:bookmarkStart w:id="10" w:name="_Toc000000010"/>
      <w:bookmarkEnd w:id="10"/>
    </w:p>
    <w:p>
      <w:pPr>
        <w:spacing w:after="120"/>
        <w:jc w:val="both"/>
      </w:pPr>
      <w:r>
        <w:rPr>
          <w:rFonts w:ascii="Calibri" w:hAnsi="Calibri" w:eastAsia="Calibri" w:cs="Calibri"/>
          <w:b w:val="0"/>
          <w:i w:val="0"/>
          <w:color w:val="000000"/>
          <w:sz w:val="24"/>
          <w:szCs w:val="24"/>
          <w:u w:val="none"/>
        </w:rPr>
        <w:t>Critical finding: All 50 of the 50 cases were recorded in the CRM system under the classification 'Inquiry'; however, detailed analytical review of the content of each case resulted in the reclassification of 42 cases, representing 84.0%. This does not reflect a human data-entry error but rather indicates that the original system labelling is based on the reception channel or the initial contact intent rather than on the actual content of the request. The complete list of 42 reclassified cases with supporting evidence is available in the digital appendix (attached Excel file).</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Request Number</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Recorded As</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Correct Classification</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Evidence from Request Details</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2025287730</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 filing a security or traffic report</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"Peace be upon you. A report was filed on 23/10/2025, report number 2228, regarding an assault I suffered at Al-Diyar School in Fujairah city centre, and to this day it has not been acted upon on the grounds that the school did not respond to them, and the report has not been completed and referred to the public prosecution to proceed."</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210724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 complaint about non-receipt of service</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 have not received the vehicle ownership document. The problem is that my personal phone number is updated in the system yet contact is not being made on my phone number and is instead being made on another number — my brother's number — and I have not received the vehicle ownership document."</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211093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 complaint about non-receipt of service</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 have not received the licence to this day. I previously filed a complaint, and one of the officers from Fujairah spoke with me and said the transaction number I provided does not match the personal identification number, and if contact could not be made with you, Emirates Post would return the licence to the Fujairah Traffic Department, and the data was updated. One of the Emirates Post representatives contacted me and said it would be the next day — bearing in mind that the last call with the Emirates Post representative was more than 10 days ago — and the call was transferred to customer service, and a police officer spoke with me twice, but the problem has not been resolved to this day. They spoke with Emirates Post and told me they cannot search for the parcel because the number cannot be found on their system, and they send a shipping number that cannot be tracked."</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212803</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 complaint about a disputed traffic violation</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 speeding violation was issued in Fujairah city on 1/1/2025, even though I was not in Fujairah on that day. Furthermore, the violation image shows a licence plate number that is not my vehicle's plate. Violation number: 6250003094. My vehicle plate number: 11/72739. Radar image attached."</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218314</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 — complaint about a disputed traffic violation</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"This is the third time iam getting fine by mistake for traffic violation. This vehicle shown in this photo is not my vehicle. My vehicle is toyota hiace van fujairah registration 10129 code A. And my vehicle not gone to fujairah during the violation date amd time mentioned. Please do the needful. For same vehicle i got repeated violation within 3 months."</w:t>
            </w:r>
          </w:p>
        </w:tc>
      </w:tr>
    </w:tbl>
    <w:p/>
    <w:p>
      <w:pPr>
        <w:pStyle w:val="Heading2"/>
        <w:jc w:val="left"/>
      </w:pPr>
      <w:r>
        <w:rPr>
          <w:rFonts w:ascii="Calibri" w:hAnsi="Calibri" w:eastAsia="Calibri" w:cs="Calibri"/>
          <w:b/>
          <w:color w:val="B68A35"/>
          <w:sz w:val="26"/>
          <w:szCs w:val="26"/>
        </w:rPr>
        <w:t>3.3  Complaints Breakdown (28 cases — 56.0%)</w:t>
      </w:r>
      <w:bookmarkStart w:id="11" w:name="_Toc000000011"/>
      <w:bookmarkEnd w:id="11"/>
    </w:p>
    <w:p>
      <w:pPr>
        <w:spacing w:after="120"/>
        <w:jc w:val="both"/>
      </w:pPr>
      <w:r>
        <w:rPr>
          <w:rFonts w:ascii="Calibri" w:hAnsi="Calibri" w:eastAsia="Calibri" w:cs="Calibri"/>
          <w:b w:val="0"/>
          <w:i w:val="0"/>
          <w:color w:val="000000"/>
          <w:sz w:val="24"/>
          <w:szCs w:val="24"/>
          <w:u w:val="none"/>
        </w:rPr>
        <w:t>Complaints represent the hidden dominant category uncovered by the detailed analysis, concentrated notably within the traffic and licensing system where traffic violations and vehicle licences form the primary axis of submitted grievances. The following is the detailed distribution of subcategories:</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Subcategory</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Count</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Percentage of Complaints</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Description</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about a disputed traffic violation</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11</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39.3%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Customers for whom the system recorded traffic violations in their names while their vehicles were outside the emirate or bore plates that did not match their vehicles, and who submitted formal objections supported by material evidence.</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Filing a security or traffic report</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14.3%</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Customers who experienced security or traffic incidents and filed formal reports whose procedures were not completed or whose files were not referred to the competent authorities as of the date of contact.</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about non-receipt of service</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14.3%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Customers who completed all service request procedures — such as receiving a driving licence or vehicle ownership document — and did not receive their documents despite a prolonged period and multiple follow-up attempts.</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Objection to a traffic violation</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14.3%</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Customers who considered traffic violations issued against them to be unwarranted or excessive, and who submitted formal objections requesting reconsideration of the penalty decision.</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about a technical or system error</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7.1%</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Customers who encountered data errors in the system — such as their transactions being linked to incorrect phone numbers or identities — which impeded the completion of their services and prompted them to contact support to report the defect.</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about processing delay</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3.6%</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 customer who submitted a request or report a considerable time ago and whose case had not been decided by the date of contact, and who expressed dissatisfaction at the unjustified delay in completing their transaction.</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about lack of response</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3.6%</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 customer who had previously contacted the competent authority and received no reply or follow-up to their prior contact, and who resubmitted a complaint about the absence of a response.</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General complaint</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3.6%</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 customer who expressed a grievance about a negative experience with a service or procedure that does not fall under a specific complaint category, and who expressed general dissatisfaction with the service provided.</w:t>
            </w:r>
          </w:p>
        </w:tc>
      </w:tr>
    </w:tbl>
    <w:p/>
    <w:p>
      <w:pPr>
        <w:pStyle w:val="Heading2"/>
        <w:jc w:val="left"/>
      </w:pPr>
      <w:r>
        <w:rPr>
          <w:rFonts w:ascii="Calibri" w:hAnsi="Calibri" w:eastAsia="Calibri" w:cs="Calibri"/>
          <w:b/>
          <w:color w:val="B68A35"/>
          <w:sz w:val="26"/>
          <w:szCs w:val="26"/>
        </w:rPr>
        <w:t>3.4  Service Requests and Inquiries Breakdown</w:t>
      </w:r>
      <w:bookmarkStart w:id="12" w:name="_Toc000000012"/>
      <w:bookmarkEnd w:id="12"/>
    </w:p>
    <w:p>
      <w:pPr>
        <w:spacing w:after="120"/>
        <w:jc w:val="both"/>
      </w:pPr>
      <w:r>
        <w:rPr>
          <w:rFonts w:ascii="Calibri" w:hAnsi="Calibri" w:eastAsia="Calibri" w:cs="Calibri"/>
          <w:b w:val="0"/>
          <w:i w:val="0"/>
          <w:color w:val="000000"/>
          <w:sz w:val="24"/>
          <w:szCs w:val="24"/>
          <w:u w:val="none"/>
        </w:rPr>
        <w:t>Most prominent submitted requests (14 cases — 28.0%):</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Subcategory</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Count</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Percentage</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Description</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Request to amend or update data</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6</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42.9%</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Customers who discovered that their personal or vehicle data registered in the systems was not up to date or contained errors, and who contacted support requesting correction in order to complete their transactions.</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Follow-up on a submitted request</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21.4%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Customers who had previously submitted service requests through official channels and had not received any status update, and who re-contacted to enquire about the outcome of their pending requests.</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Weapons permit or licence request</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14.3%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Customers who submitted applications to obtain weapons carrying permits or related licences, and who contacted support to complete the required procedures or follow up on the progress of their applications.</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Licence or ownership renewal request</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14.3%</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Customers wishing to renew their driving licences or vehicle ownership documents, and who contacted support to learn about the requirements or to complete renewal procedures directly.</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General service request</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7.1%</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 customer who submitted a service request not falling under a specific category, and who requested assistance from the authority in completing an administrative procedure requiring intervention from a staff member with system authorisation.</w:t>
            </w:r>
          </w:p>
        </w:tc>
      </w:tr>
    </w:tbl>
    <w:p/>
    <w:p>
      <w:pPr>
        <w:pStyle w:val="Heading2"/>
        <w:jc w:val="left"/>
      </w:pPr>
      <w:r>
        <w:rPr>
          <w:rFonts w:ascii="Calibri" w:hAnsi="Calibri" w:eastAsia="Calibri" w:cs="Calibri"/>
          <w:b/>
          <w:color w:val="B68A35"/>
          <w:sz w:val="26"/>
          <w:szCs w:val="26"/>
        </w:rPr>
        <w:t>3.5  Most Recurring Inquiries (8 cases — 16.0%) — the category with the highest potential for full digital self-service deflection</w:t>
      </w:r>
      <w:bookmarkStart w:id="13" w:name="_Toc000000013"/>
      <w:bookmarkEnd w:id="13"/>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Subcategory</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Count</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Percentage</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Description</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General inquiry</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50.0%</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Customers who contacted support to enquire about general information relating to police services or their procedures without having a specific request or a problem requiring follow-up.</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 about licences and vehicles</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25.0%</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Customers who sought clarification about driving licence or vehicle ownership details, such as validity dates, issuance fees, and electronic enquiry procedures.</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 about procedures and requirements</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12.5%</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 customer who contacted support to learn the official steps and documents required to complete a specific transaction before proceeding to submit it through the approved channels.</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 about weapons and licences</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12.5%</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 customer who enquired about the conditions and procedures for obtaining or renewing a weapons licence, and requested clarification regarding the competent authority and the necessary documents.</w:t>
            </w:r>
          </w:p>
        </w:tc>
      </w:tr>
    </w:tbl>
    <w:p/>
    <w:p>
      <w:pPr>
        <w:pStyle w:val="Heading1"/>
        <w:jc w:val="left"/>
      </w:pPr>
      <w:r>
        <w:rPr>
          <w:rFonts w:ascii="Calibri" w:hAnsi="Calibri" w:eastAsia="Calibri" w:cs="Calibri"/>
          <w:b/>
          <w:color w:val="B68A35"/>
          <w:sz w:val="32"/>
          <w:szCs w:val="32"/>
        </w:rPr>
        <w:t>Section Four: Analysis Two — Customer Journey Challenges</w:t>
      </w:r>
      <w:bookmarkStart w:id="14" w:name="_Toc000000014"/>
      <w:bookmarkEnd w:id="14"/>
    </w:p>
    <w:p>
      <w:pPr>
        <w:spacing w:after="120"/>
        <w:jc w:val="both"/>
      </w:pPr>
      <w:r>
        <w:rPr>
          <w:rFonts w:ascii="Calibri" w:hAnsi="Calibri" w:eastAsia="Calibri" w:cs="Calibri"/>
          <w:b w:val="0"/>
          <w:i w:val="0"/>
          <w:color w:val="000000"/>
          <w:sz w:val="24"/>
          <w:szCs w:val="24"/>
          <w:u w:val="none"/>
        </w:rPr>
        <w:t>In-depth analysis of unstructured text data reveals 7 principal friction points in the customer journey, each arising from a specific identifiable root cause that can be addressed. The most acute point is the vehicle image in the violation notice displaying a different vehicle or non-matching plate, forcing the customer to contact support manually to correct the error, affecting 9 cases (18.0% of the total). Among these points, a quick-win improvement opportunity stands out relating to the absence of document delivery status notifications via post, which accounts for 8.0% of cases and can be addressed immediately by activating a proactive SMS or email notification containing a shipment tracking link as soon as the document is dispatched. The following is a detailed presentation of all identified friction points, their root causes, and the proposed improvement actions:</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Friction Point</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Cases</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Root Cause</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Improvement Action</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Vehicle image in the violation notice displays a different vehicle or non-matching plate, forcing the customer to contact support manually to correct the error</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9</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Technical platform defect</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Develop an internal automated system to detect plate mismatches before violation notices are dispatched, and provide a digital channel for submitting objections with photographic evidence attached, without requiring a physical appearance.</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system does not allow the customer to self-update their phone number, identity data, or licence image, forcing them to contact support to complete the update</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6</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Information available but difficult to access</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Conduct a technical audit to address self-update gaps in the application, and create a guided pathway within the app clarifying which fields can be edited electronically, with a step-by-step guide for each scenario.</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customer does not receive a notification or tracking link when ownership documents or a licence are dispatched via Emirates Post, and therefore contacts support to check the status</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Implement automated SMS or email notifications containing an Emirates Post tracking link sent as soon as the document is printed and dispatched, including the estimated delivery period for each emirate.</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customer objects to traffic violations due to unclear speed limits or belief in a different tolerance margin, generating recurring objection cases</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Information missing from the guide</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Create a dedicated FAQ section titled 'Speed Limits and Violation Rules in Fujairah' clarifying the approved limits and official tolerance margin, and publish it prominently on the app, website, and in proactive awareness campaigns.</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Absence of automatic status notifications for submitted requests forces customers to open follow-up complaints</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Implement a real-time request status tracking system with SMS and email notifications at each processing stage, and add automatic escalation triggers when defined timeframes are exceeded without a status update.</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customer experiences double fee deductions without service completion, or is unable to register despite meeting the requirements, due to system malfunctions</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Technical platform defect</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Link the payment system to an automatic refund mechanism upon failure to confirm service completion, and add a digital refund request form in the app with a transparent transaction log enabling the customer to track payment status.</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customer submits a weapons licence application and receives no update or response for several months, compelling them to contact support</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Add the 'Weapons Licence Application' service in full to the procedural guide with SMS notifications linked to processing stages, and create a secure electronic portal via UAE Pass for viewing the status of sensitive applications.</w:t>
            </w:r>
          </w:p>
        </w:tc>
      </w:tr>
    </w:tbl>
    <w:p/>
    <w:p>
      <w:pPr>
        <w:pStyle w:val="Heading1"/>
        <w:jc w:val="left"/>
      </w:pPr>
      <w:r>
        <w:rPr>
          <w:rFonts w:ascii="Calibri" w:hAnsi="Calibri" w:eastAsia="Calibri" w:cs="Calibri"/>
          <w:b/>
          <w:color w:val="B68A35"/>
          <w:sz w:val="32"/>
          <w:szCs w:val="32"/>
        </w:rPr>
        <w:t>Section Five: Analysis Three — Digital Gaps Analysis</w:t>
      </w:r>
      <w:bookmarkStart w:id="15" w:name="_Toc000000015"/>
      <w:bookmarkEnd w:id="15"/>
    </w:p>
    <w:p>
      <w:pPr>
        <w:spacing w:after="120"/>
        <w:jc w:val="both"/>
      </w:pPr>
      <w:r>
        <w:rPr>
          <w:rFonts w:ascii="Calibri" w:hAnsi="Calibri" w:eastAsia="Calibri" w:cs="Calibri"/>
          <w:b w:val="0"/>
          <w:i w:val="0"/>
          <w:color w:val="000000"/>
          <w:sz w:val="24"/>
          <w:szCs w:val="24"/>
          <w:u w:val="none"/>
        </w:rPr>
        <w:t>Why do problems persist despite the availability of the app and website? Data reveals that 94.0% of cases were directed through digital channels (app/website), and that 86.2% of cases originated in a digital context (app/website), confirming that the challenge lies not in the absence of these channels but in the absence of the correct functions within them. Five critical-severity gaps and 2 high-severity gaps were identified, the most prominent being the gap of 'disputed traffic violations — vehicle image in violation notice displays a different vehicle or non-matching plate' with 11 cases, while 10 cases (20.0% of total) can be deflected via proactive SMS/email notification without any infrastructure changes.</w:t>
      </w:r>
    </w:p>
    <w:p>
      <w:pPr>
        <w:pStyle w:val="Heading2"/>
        <w:jc w:val="left"/>
      </w:pPr>
      <w:r>
        <w:rPr>
          <w:rFonts w:ascii="Calibri" w:hAnsi="Calibri" w:eastAsia="Calibri" w:cs="Calibri"/>
          <w:b/>
          <w:color w:val="B68A35"/>
          <w:sz w:val="26"/>
          <w:szCs w:val="26"/>
        </w:rPr>
        <w:t>5.1  Consolidated Gaps Table</w:t>
      </w:r>
      <w:bookmarkStart w:id="16" w:name="_Toc000000016"/>
      <w:bookmarkEnd w:id="16"/>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Topic</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Cases</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Severity</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Current App / Website Status</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Gap Type</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Recommendation</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Disputed traffic violations — vehicle image in violation notice displays a different vehicle or non-matching plate</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11</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guide offers a traffic objection service via service centres only; there is no digital channel for submitting an objection or attaching photographic evidence proving plate mismatch.</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Missing content + absence of digital objection channel</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Create a digital channel for objecting to violations and add FAQs about errors in evidence images, and develop an automated internal system to detect plate mismatches before violation notices are dispatched.</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Data update in the traffic system — customer inability to self-update data via the app</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6</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MOI app and website theoretically support licence and ownership card data amendment for a fee of AED 100; however, key fields such as phone number and licence image cannot be self-updated, forcing the customer to contact support.</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Unclear information + functional platform gap</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Conduct a technical audit to address self-update gaps in the app, and update the guide to clarify which data can be amended electronically and which requires a physical visit, with a step-by-step guide and illustrative screenshots.</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Non-receipt of vehicle or licence documents — customer does not receive a notification or tracking link when documents are dispatched via post</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Delivery via the delivery company is mentioned as an optional option in service centre steps, but there is no automatic notification with a tracking link and no self-enquiry service for delivery status within the app or website.</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Absence of proactive notification + missing tracking information</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Activate an automatic SMS/email notification containing a tracking link as soon as documents are dispatched, and add a self-service delivery status enquiry feature in the app with the estimated timeframe for each emirate.</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Objection to traffic violations — unclear grounds for violation or ambiguity regarding the approved speed standard in the Emirate of Fujairah</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guide contains no content clarifying speed limits in Fujairah, the tolerance margin, or the violation calculation method; the available service is procedural only with no awareness content.</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Missing content + absence of regulatory information</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Create a FAQ section clarifying speed limits, tolerance margins, and the violation calculation method in Fujairah, and publish it prominently in the app, website, and service centres.</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Follow-up on submitted requests with no status update — customer does not receive an automatic update on their request status</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procedural guide is limited to describing submission steps only with no mention of a mechanism for notifying the customer after submission or tracking request status in the app or website.</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Absence of proactive notification + missing content</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Activate automatic SMS/email notifications at each processing stage, add a request tracking feature in the app, and include automatic escalation triggers when the defined service level is exceeded without a status update.</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Technical errors in completing transactions and fee payment — fees deducted more than once or inability to complete registration</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High</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 violation value refund service is available via service centres only; there is no digital refund request form and no automatic refund mechanism upon transaction failure in the app or website.</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Missing content + platform defect + absence of self-service refund mechanism</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Activate an automatic SMS/email notification upon fee deduction with an immediate automatic refund upon confirmation failure, and add a digital refund form and clear FAQs for double-deduction cases.</w:t>
            </w:r>
          </w:p>
        </w:tc>
      </w:tr>
      <w:tr>
        <w:tc>
          <w:tcPr>
            <w:tcW w:type="dxa" w:w="156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Delay in processing weapons licence applications — customer receives no notification of application status</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High</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No weapons licensing service is mentioned in the procedural guide, and there is no content relating to eligibility conditions, processing timeframes, or notification mechanisms in the app or website.</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Completely missing content + absence of proactive notification</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Activate automatic SMS/email notifications for each stage in weapons licence application processing, add the complete service to the guide, and create a secure portal via UAE Pass for tracking sensitive applications.</w:t>
            </w:r>
          </w:p>
        </w:tc>
      </w:tr>
    </w:tbl>
    <w:p/>
    <w:p>
      <w:pPr>
        <w:pStyle w:val="Heading2"/>
        <w:jc w:val="left"/>
      </w:pPr>
      <w:r>
        <w:rPr>
          <w:rFonts w:ascii="Calibri" w:hAnsi="Calibri" w:eastAsia="Calibri" w:cs="Calibri"/>
          <w:b/>
          <w:color w:val="B68A35"/>
          <w:sz w:val="26"/>
          <w:szCs w:val="26"/>
        </w:rPr>
        <w:t>5.2  Root Causes of Continued Issues</w:t>
      </w:r>
      <w:bookmarkStart w:id="17" w:name="_Toc000000017"/>
      <w:bookmarkEnd w:id="17"/>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Root Cause</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Example of the Challenge</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Solution</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Absence of a structured technical reporting mechanism</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11 cases — vehicle image in violation notice displays a different vehicle or non-matching plate, forcing the customer to contact support manually to correct the error</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Develop an internal automated system to detect plate mismatches before violation notices are issued, and create a digital channel for submitting objections with photographic evidence attached.</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Weak proactive notification</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8 cases — the customer does not receive a notification or tracking link when ownership documents or a licence are dispatched via Emirates Post, and therefore contacts support to check the status</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Activate automatic SMS/email notifications with a tracking link as soon as documents are dispatched, and add a self-service delivery enquiry feature within the app.</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Low awareness of available digital channels</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6 cases — the system does not allow the customer to self-update their phone number, identity data, or licence image, forcing them to contact support to complete the update</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Address functional gaps in the app and update the guide to clarify what can be amended electronically, with a step-by-step guide and illustrative screenshots.</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Absence of a dedicated digital pathway</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 cases — the customer objects to traffic violations due to unclear speed limits or belief in a different tolerance margin, generating recurring objection cases</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Create a digital objection pathway and publish clear awareness content about speed limits and tolerance margins in the app and website.</w:t>
            </w:r>
          </w:p>
        </w:tc>
      </w:tr>
    </w:tbl>
    <w:p/>
    <w:p>
      <w:pPr>
        <w:pStyle w:val="Heading1"/>
        <w:jc w:val="left"/>
      </w:pPr>
      <w:r>
        <w:rPr>
          <w:rFonts w:ascii="Calibri" w:hAnsi="Calibri" w:eastAsia="Calibri" w:cs="Calibri"/>
          <w:b/>
          <w:color w:val="B68A35"/>
          <w:sz w:val="32"/>
          <w:szCs w:val="32"/>
        </w:rPr>
        <w:t>Section Six: Analysis Four — Digital Transformation Plan</w:t>
      </w:r>
      <w:bookmarkStart w:id="18" w:name="_Toc000000018"/>
      <w:bookmarkEnd w:id="18"/>
    </w:p>
    <w:p>
      <w:pPr>
        <w:spacing w:after="120"/>
        <w:jc w:val="both"/>
      </w:pPr>
      <w:r>
        <w:rPr>
          <w:rFonts w:ascii="Calibri" w:hAnsi="Calibri" w:eastAsia="Calibri" w:cs="Calibri"/>
          <w:b w:val="0"/>
          <w:i w:val="0"/>
          <w:color w:val="000000"/>
          <w:sz w:val="24"/>
          <w:szCs w:val="24"/>
          <w:u w:val="none"/>
        </w:rPr>
        <w:t>This section presents seven priority FAQs extracted from the most recurring patterns in the text data for the period January to December 2025, alongside a proposed proactive notification pathway to enhance the customer experience. Data indicates that at least 12 contact cases, representing 24.0% of the total 50 cases, could be avoided by implementing a simple automated notification system without requiring any structural changes.</w:t>
      </w:r>
    </w:p>
    <w:p>
      <w:pPr>
        <w:pStyle w:val="Heading2"/>
        <w:jc w:val="left"/>
      </w:pPr>
      <w:r>
        <w:rPr>
          <w:rFonts w:ascii="Calibri" w:hAnsi="Calibri" w:eastAsia="Calibri" w:cs="Calibri"/>
          <w:b/>
          <w:color w:val="B68A35"/>
          <w:sz w:val="26"/>
          <w:szCs w:val="26"/>
        </w:rPr>
        <w:t>6.1  Priority FAQs</w:t>
      </w:r>
      <w:bookmarkStart w:id="19" w:name="_Toc000000019"/>
      <w:bookmarkEnd w:id="19"/>
    </w:p>
    <w:p>
      <w:pPr>
        <w:spacing w:after="120"/>
        <w:jc w:val="both"/>
      </w:pPr>
      <w:r>
        <w:rPr>
          <w:rFonts w:ascii="Calibri" w:hAnsi="Calibri" w:eastAsia="Calibri" w:cs="Calibri"/>
          <w:b w:val="0"/>
          <w:i w:val="0"/>
          <w:color w:val="000000"/>
          <w:sz w:val="24"/>
          <w:szCs w:val="24"/>
          <w:u w:val="none"/>
        </w:rPr>
        <w:t>These questions are extracted from the most recurring patterns in the text data.</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Question</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Suggested Answer</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Frequency</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How do I verify that a traffic violation recorded in my name actually belongs to my vehicle?</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Open the MOI app and review the violation image. If the image shows a vehicle or plate different from your vehicle, or if you were outside Fujairah on the day of the violation, submit a complaint through the official channels attaching an image of your vehicle and documents proving your whereabouts. The competent authority will investigate and notify you of the outcome.</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9</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How do I submit a formal objection to a traffic violation in the Emirate of Fujairah?</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Contact Fujairah Police directly or visit the competent department to submit a formal objection request. If the violation is confirmed and you wish to request a reduction, submit a written request to the relevant department. It should be noted that speed limits in Fujairah may differ from other emirates and a uniform tolerance margin is not applied.</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How do I update my phone number or personal data in the traffic system?</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First attempt to update your data yourself through the MOI app. If this is not available, visit Fujairah Police in person with your supporting documents (Emirates ID, passport, residence permit), and the authorised staff member will update the data in the traffic system on your behalf.</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 requested printing of my vehicle ownership document and paid the fees, but it has not arrived — what should I do?</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ownership document is sent via Emirates Post to the registered address. If it has not been received, contact Fujairah Police and provide your request number and full delivery address, and arrangements will be made to reprint and resend it at the earliest opportunity.</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 submitted a weapons licence application a long time ago and it has not been decided — how do I follow up on my application?</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Weapons licence decisions are issued by the competent committee in the Weapons and Explosives Directorate at the Ministry of Interior, which is the sole authority empowered to approve or reject applications. Contact Fujairah Police with your application number, and they will coordinate with the relevant authority to follow up on your application status and inform you of the latest developments.</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6</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 renewed my driving licence through the MOI app but it has not arrived after several months — what is the reason?</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delay is usually due to the personal photo not being updated in the system; an SMS is sent requesting the update and may be overlooked. Open the MOI app and ensure your personal photo is updated. If the delay persists after that, contact Fujairah Police with your request number to follow up on the status.</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7</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 paid traffic transaction fees twice due to an application error — how do I recover the excess amount paid?</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Contact Fujairah Police and attach proof of the duplicate payment (a bank statement or screenshot showing both transactions). The authorised staff member will verify the transaction in the system and, once confirmed, the financial record will be settled and the doubly paid amount will be refunded to your account.</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r>
    </w:tbl>
    <w:p/>
    <w:p>
      <w:pPr>
        <w:pStyle w:val="Heading2"/>
        <w:jc w:val="left"/>
      </w:pPr>
      <w:r>
        <w:rPr>
          <w:rFonts w:ascii="Calibri" w:hAnsi="Calibri" w:eastAsia="Calibri" w:cs="Calibri"/>
          <w:b/>
          <w:color w:val="B68A35"/>
          <w:sz w:val="26"/>
          <w:szCs w:val="26"/>
        </w:rPr>
        <w:t>6.2  Pathway to Eliminating 12+ Contact Cases via Proactive Notification</w:t>
      </w:r>
      <w:bookmarkStart w:id="20" w:name="_Toc000000020"/>
      <w:bookmarkEnd w:id="20"/>
    </w:p>
    <w:p>
      <w:pPr>
        <w:spacing w:after="120"/>
        <w:jc w:val="both"/>
      </w:pPr>
      <w:r>
        <w:rPr>
          <w:rFonts w:ascii="Calibri" w:hAnsi="Calibri" w:eastAsia="Calibri" w:cs="Calibri"/>
          <w:b w:val="0"/>
          <w:i w:val="0"/>
          <w:color w:val="000000"/>
          <w:sz w:val="24"/>
          <w:szCs w:val="24"/>
          <w:u w:val="none"/>
        </w:rPr>
        <w:t>Data analysis reveals that 12+ contact cases (24% of total) could have been eliminated entirely with a simple notification system — without any structural changes to systems or procedures:</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Notification Type</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Eliminated Cases</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Notification Content (Example)</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Channel</w:t>
            </w:r>
          </w:p>
        </w:tc>
        <w:tc>
          <w:tcPr>
            <w:tcW w:type="dxa" w:w="1872"/>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Expected Impact</w:t>
            </w:r>
          </w:p>
        </w:tc>
      </w:tr>
      <w:tr>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Document delivery status notification via post</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 cases</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'Fujairah Police: Your document [X] was dispatched via Emirates Post on [X]. Track your shipment at: [X]'</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SMS / Email</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Avoiding 4 unnecessary contact cases and significantly reducing delivery-related enquiries.</w:t>
            </w:r>
          </w:p>
        </w:tc>
      </w:tr>
      <w:tr>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Periodic status update for weapons licence applications</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 cases</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'Fujairah Police: Weapons licence application no. [X] is currently under review. You will be notified as soon as a decision is issued.'</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SMS / Email</w:t>
            </w:r>
          </w:p>
        </w:tc>
        <w:tc>
          <w:tcPr>
            <w:tcW w:type="dxa" w:w="1872"/>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Avoiding 3 follow-up cases and enhancing customer confidence in the transparency of application processing stages.</w:t>
            </w:r>
          </w:p>
        </w:tc>
      </w:tr>
      <w:tr>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General submitted request status update notification</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 cases</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'Fujairah Police: The status of your request no. [X] has been updated to [X]. For further details, open the MOI app.'</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SMS / MOI App Notification</w:t>
            </w:r>
          </w:p>
        </w:tc>
        <w:tc>
          <w:tcPr>
            <w:tcW w:type="dxa" w:w="1872"/>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Avoiding 3 status enquiry cases and improving the digital customer experience.</w:t>
            </w:r>
          </w:p>
        </w:tc>
      </w:tr>
      <w:tr>
        <w:tc>
          <w:tcPr>
            <w:tcW w:type="dxa" w:w="1872"/>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Alert regarding requirements to complete a licence renewal request</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 cases</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'Fujairah Police: Your licence renewal request no. [X] requires completion of step [X]. Please review before [X].'</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SMS</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Avoiding 2 contact cases resulting from a request stalling due to missing requirements.</w:t>
            </w:r>
          </w:p>
        </w:tc>
      </w:tr>
    </w:tbl>
    <w:p/>
    <w:p>
      <w:pPr>
        <w:pStyle w:val="Heading1"/>
        <w:jc w:val="left"/>
      </w:pPr>
      <w:r>
        <w:rPr>
          <w:rFonts w:ascii="Calibri" w:hAnsi="Calibri" w:eastAsia="Calibri" w:cs="Calibri"/>
          <w:b/>
          <w:color w:val="B68A35"/>
          <w:sz w:val="32"/>
          <w:szCs w:val="32"/>
        </w:rPr>
        <w:t>Section Seven: AI-Powered Use Cases</w:t>
      </w:r>
      <w:bookmarkStart w:id="21" w:name="_Toc000000021"/>
      <w:bookmarkEnd w:id="21"/>
    </w:p>
    <w:p>
      <w:pPr>
        <w:spacing w:after="120"/>
        <w:jc w:val="both"/>
      </w:pPr>
      <w:r>
        <w:rPr>
          <w:rFonts w:ascii="Calibri" w:hAnsi="Calibri" w:eastAsia="Calibri" w:cs="Calibri"/>
          <w:b w:val="0"/>
          <w:i w:val="0"/>
          <w:color w:val="000000"/>
          <w:sz w:val="24"/>
          <w:szCs w:val="24"/>
          <w:u w:val="none"/>
        </w:rPr>
        <w:t>The opportunities identified in January - December 2025 integrate with artificial intelligence capabilities to form a smart self-service system capable of covering more than 84.0% of current contact volume without human intervention at the classification stage. Based on a total of 50 documented cases during the stated period, four integrated AI tools have been identified that address the most prominent friction sources in the customer journey at the point of origin rather than after the complaint is registered.</w:t>
      </w:r>
    </w:p>
    <w:p>
      <w:pPr>
        <w:spacing w:after="120"/>
        <w:jc w:val="both"/>
      </w:pPr>
      <w:r>
        <w:rPr>
          <w:rFonts w:ascii="Calibri" w:hAnsi="Calibri" w:eastAsia="Calibri" w:cs="Calibri"/>
          <w:b w:val="0"/>
          <w:i w:val="0"/>
          <w:color w:val="000000"/>
          <w:sz w:val="24"/>
          <w:szCs w:val="24"/>
          <w:u w:val="none"/>
        </w:rPr>
        <w:t>Key note: Training data is now ready — 50 manually classified and labelled cases covering the period from January to December 2025 are available, and this annotated dataset is sufficient to immediately initiate AI automated classifier training without the need to collect additional data.</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Tool</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Function</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Expected Impact on January - December 2025 Data</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Implementation Assessment</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Automated Visual Verification System for Traffic Violations</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system is activated at the moment a traffic violation image is captured, using a Computer Vision model to match the vehicle's colour and model against the official registry data for the photographed plate. The system detects any discrepancy between the vehicle specifications in the image and the data recorded in the database, and issues an immediate alert to the operator before the violation is finalised, thereby preventing disputed notices from reaching the customer in the first place.</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High — 9+ months (requires access to a live feed from violation cameras)</w:t>
            </w:r>
          </w:p>
        </w:tc>
      </w:tr>
      <w:tr>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Smart Case Router Between Government Entities</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system relies on a text classification model trained on CRM case patterns to analyse the content of each new incoming enquiry and automatically identify the competent authority — whether Fujairah Police, RTA, the Municipality, or any other body — according to a documented authorisation database. The system produces an immediate routing message sent to the customer via SMS or the digital platform, eliminating the manual re-routing stage and reducing case circulation between entities.</w:t>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Medium — 3-4 months (requires a documented authorisation map for all entities)</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OCR Document and Image Quality Inspector</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system runs automatically as soon as the customer uploads any document or image as part of their electronic request, employing OCR technology and quality-inspection algorithms to verify the accuracy of the personal photo, validity of the technical inspection certificate, completeness of mandatory fields, and matching of the identity number. The system issues an immediate report guiding the customer to missing fields or non-compliant images before the request is submitted, without the need for manual staff review.</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Medium — 3-4 months (OCR model and document verification standards are commercially available)</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Geographic Friction Radar with NER Heat Maps</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 system operates on the CRM text dataset received during the specified period, using Named Entity Recognition (NER) technology to identify area names and intersections mentioned in complaints and proposals. These entities are converted into a heat map revealing areas with disproportionate complaint density, and the results are presented in periodic visual reports supporting resource allocation decisions and infrastructure prioritisation.</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Low–Medium — 2-3 months (location data extracted from existing CRM texts)</w:t>
            </w:r>
          </w:p>
        </w:tc>
      </w:tr>
    </w:tbl>
    <w:p/>
    <w:p>
      <w:pPr>
        <w:pStyle w:val="Heading1"/>
        <w:jc w:val="left"/>
      </w:pPr>
      <w:r>
        <w:rPr>
          <w:rFonts w:ascii="Calibri" w:hAnsi="Calibri" w:eastAsia="Calibri" w:cs="Calibri"/>
          <w:b/>
          <w:color w:val="B68A35"/>
          <w:sz w:val="32"/>
          <w:szCs w:val="32"/>
        </w:rPr>
        <w:t>Section Eight: Proposed Improvement Roadmap</w:t>
      </w:r>
      <w:bookmarkStart w:id="22" w:name="_Toc000000022"/>
      <w:bookmarkEnd w:id="22"/>
    </w:p>
    <w:p>
      <w:pPr>
        <w:spacing w:after="120"/>
        <w:jc w:val="both"/>
      </w:pPr>
      <w:r>
        <w:rPr>
          <w:rFonts w:ascii="Calibri" w:hAnsi="Calibri" w:eastAsia="Calibri" w:cs="Calibri"/>
          <w:b w:val="0"/>
          <w:i w:val="0"/>
          <w:color w:val="000000"/>
          <w:sz w:val="24"/>
          <w:szCs w:val="24"/>
          <w:u w:val="none"/>
        </w:rPr>
        <w:t>This roadmap consolidates the recommendations from the four analyses into a tiered priority framework based on January - December 2025 data, with a total of 50 cases, with the aim of transitioning processing from reactive to proactive. All eight items are drawn from actual cases with no theoretical recommendations, and are ranked in descending order according to the criteria of impact and ease of implementation.</w:t>
      </w:r>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Time Horizon</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Recommendation</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Source</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Expected Impact</w:t>
            </w:r>
          </w:p>
        </w:tc>
        <w:tc>
          <w:tcPr>
            <w:tcW w:type="dxa" w:w="156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Effort</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When an ownership document or licence is printed and referred to Emirates Post, a shipment tracking link along with the expected delivery timeframe is automatically sent via SMS and an in-app message.</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Eliminating 4+ contact cases arising from customers enquiring about the arrival of their documents prior to completed delivery.</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Add a mandatory step in the CRM workflow to record the Emirates Post waybill number immediately upon dispatch, and activate an automatic SMS notification to the customer containing the tracking number and its direct link.</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Reducing 4+ cases arising from the absence of a dispatch notification, and decreasing incoming calls for document follow-up.</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Publish via the app and electronic portal an explanatory page presenting the approved traffic speed limits and official objection procedures, and send a reminder SMS upon the registration of each violation.</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Reducing 4+ traffic objection cases based on misunderstanding, and decreasing recurring unjustified objections.</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Activate a time-based trigger in the request system that sends, every 30 days, an SMS and email notification to the weapons licence applicant clarifying their current application stage from among: 'Under Review / Referred to Committee / Concluded'.</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Eliminating 3+ periodic follow-up cases for weapons licence applications and reducing pressure on support channels.</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5</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Link the request management system to a notification engine that triggers an SMS and in-app notification as soon as any request status changes to: 'Approved', 'Rejected', or 'Additional Documents Required', without waiting for the customer to make contact.</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Eliminating 3+ enquiry cases about request outcomes and converting contact from reactive to proactive.</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6</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Develop a 'Track My Request' feature in the portal and app using the service number, with multi-channel notifications at each processing stage and automatic escalation triggers when defined service levels are exceeded without a status update.</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Addressing 3+ follow-up cases arising from the absence of automatic updates and enhancing procedural transparency for customers.</w:t>
            </w:r>
          </w:p>
        </w:tc>
        <w:tc>
          <w:tcPr>
            <w:tcW w:type="dxa" w:w="156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Short-Term</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7</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Run a Named Entity Recognition (NER) model to detect recurring geographic areas in incoming infrastructure proposals, and produce quarterly heat maps to be submitted to decision-makers for prioritising field investment.</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Both sources</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Converting infrastructure proposals from individual judgements into investment decisions based on actual geographic case density.</w:t>
            </w:r>
          </w:p>
        </w:tc>
        <w:tc>
          <w:tcPr>
            <w:tcW w:type="dxa" w:w="156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Medium-Term</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8</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Develop a smart router integrated into the CRM that automatically classifies incoming cases and refers them to the competent government authority via API interfaces, with an operator alert for each external referral.</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Both sources</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Cutting case circulation between entities and reducing resolution time for 5+ cases previously directed to the wrong authority.</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Medium</w:t>
            </w:r>
          </w:p>
        </w:tc>
      </w:tr>
    </w:tbl>
    <w:p/>
    <w:p>
      <w:pPr>
        <w:pStyle w:val="Heading1"/>
        <w:jc w:val="left"/>
      </w:pPr>
      <w:r>
        <w:rPr>
          <w:rFonts w:ascii="Calibri" w:hAnsi="Calibri" w:eastAsia="Calibri" w:cs="Calibri"/>
          <w:b/>
          <w:color w:val="B68A35"/>
          <w:sz w:val="32"/>
          <w:szCs w:val="32"/>
        </w:rPr>
        <w:t>Section Nine: Conclusion — From Data to Decision</w:t>
      </w:r>
      <w:bookmarkStart w:id="23" w:name="_Toc000000023"/>
      <w:bookmarkEnd w:id="23"/>
    </w:p>
    <w:p>
      <w:pPr>
        <w:spacing w:after="120"/>
        <w:jc w:val="both"/>
      </w:pPr>
      <w:r>
        <w:rPr>
          <w:rFonts w:ascii="Calibri" w:hAnsi="Calibri" w:eastAsia="Calibri" w:cs="Calibri"/>
          <w:b w:val="0"/>
          <w:i w:val="0"/>
          <w:color w:val="000000"/>
          <w:sz w:val="24"/>
          <w:szCs w:val="24"/>
          <w:u w:val="none"/>
        </w:rPr>
        <w:t>Final message: The fact that 94.0% of cases arrived through digital channels (app and website) combined with an on-time closure rate of 98.0% demonstrates clear operational excellence in the submission channel; however, 86.2% of friction cases originated in the digital service context itself — from app errors, electronic renewal, and digital payment — revealing that the gap lies not in channel availability but in service functions and quality. The reclassification of 42 cases at 84.0% is conclusive evidence that the fundamental problem lies in the absence of service functions rather than a lack of communication channels, as evidenced most clearly by the highest-frequency friction point: 'a violation displaying a different vehicle or issued while the customer was absent from Fujairah', recorded in 9 cases. The analyses presented in this report demonstrate that the optimal path rests on three pillars rather than on human resources: addressing the five critical functional gaps identified in the gap analysis; activating a proactive notification system capable of eliminating at least 12 cases before they occur; and correcting data quality to ensure decision accuracy and service efficiency.</w:t>
      </w:r>
    </w:p>
    <w:p>
      <w:pPr>
        <w:pStyle w:val="Heading2"/>
        <w:jc w:val="left"/>
      </w:pPr>
      <w:r>
        <w:rPr>
          <w:rFonts w:ascii="Calibri" w:hAnsi="Calibri" w:eastAsia="Calibri" w:cs="Calibri"/>
          <w:b/>
          <w:color w:val="B68A35"/>
          <w:sz w:val="26"/>
          <w:szCs w:val="26"/>
        </w:rPr>
        <w:t>Three Transformation Pillars</w:t>
      </w:r>
      <w:bookmarkStart w:id="24" w:name="_Toc000000024"/>
      <w:bookmarkEnd w:id="24"/>
    </w:p>
    <w:tbl>
      <w:tblPr>
        <w:tblStyle w:val="TableGrid"/>
        <w:tblW w:type="auto" w:w="0"/>
        <w:tblLook w:firstColumn="1" w:firstRow="1" w:lastColumn="0" w:lastRow="0" w:noHBand="0" w:noVBand="1" w:val="04A0"/>
        <w:tblLayout w:type="fixed"/>
      </w:tblPr>
      <w:tblGrid>
        <w:gridCol w:w="3120"/>
        <w:gridCol w:w="3120"/>
        <w:gridCol w:w="3120"/>
      </w:tblGrid>
      <w:tr>
        <w:tc>
          <w:tcPr>
            <w:tcW w:type="dxa" w:w="312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Pillar One: Accuracy</w:t>
            </w:r>
          </w:p>
        </w:tc>
        <w:tc>
          <w:tcPr>
            <w:tcW w:type="dxa" w:w="312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Pillar Two: Accessibility</w:t>
            </w:r>
          </w:p>
        </w:tc>
        <w:tc>
          <w:tcPr>
            <w:tcW w:type="dxa" w:w="312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Pillar Three: Intelligence</w:t>
            </w:r>
          </w:p>
        </w:tc>
      </w:tr>
      <w:tr>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Improving the accuracy of request classifications</w:t>
            </w:r>
          </w:p>
        </w:tc>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Unified and comprehensive FAQs</w:t>
            </w:r>
          </w:p>
        </w:tc>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Automated visual verification system for traffic violations</w:t>
            </w:r>
          </w:p>
        </w:tc>
      </w:tr>
      <w:tr>
        <w:tc>
          <w:tcPr>
            <w:tcW w:type="dxa" w:w="312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Adding root cause and processing time fields to request resolution</w:t>
            </w:r>
          </w:p>
        </w:tc>
        <w:tc>
          <w:tcPr>
            <w:tcW w:type="dxa" w:w="312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Document delivery status notification via post</w:t>
            </w:r>
          </w:p>
        </w:tc>
        <w:tc>
          <w:tcPr>
            <w:tcW w:type="dxa" w:w="3120"/>
            <w:shd w:val="clear" w:color="auto" w:fill="D9D9D9"/>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Smart case router between government entities</w:t>
            </w:r>
          </w:p>
        </w:tc>
      </w:tr>
      <w:tr>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Restructuring service classification and eliminating the 'Other' category</w:t>
            </w:r>
          </w:p>
        </w:tc>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Alert regarding requirements to complete a licence renewal request</w:t>
            </w:r>
          </w:p>
        </w:tc>
        <w:tc>
          <w:tcPr>
            <w:tcW w:type="dxa" w:w="312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OCR document and image quality inspector</w:t>
            </w:r>
          </w:p>
        </w:tc>
      </w:tr>
      <w:tr>
        <w:tc>
          <w:tcPr>
            <w:tcW w:type="dxa" w:w="3120"/>
            <w:shd w:val="clear" w:color="auto" w:fill="D9D9D9"/>
            <w:tcMar>
              <w:top w:w="60" w:type="dxa"/>
              <w:bottom w:w="60" w:type="dxa"/>
              <w:left w:w="108" w:type="dxa"/>
              <w:right w:w="108" w:type="dxa"/>
            </w:tcMar>
            <w:tcBorders>
              <w:right w:val="single" w:sz="4" w:space="0" w:color="CCCCCC"/>
              <w:bottom w:val="single" w:sz="4" w:space="0" w:color="CCCCCC"/>
              <w:top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r>
          </w:p>
        </w:tc>
        <w:tc>
          <w:tcPr>
            <w:tcW w:type="dxa" w:w="312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Periodic status update for weapons licence applications</w:t>
            </w:r>
          </w:p>
        </w:tc>
        <w:tc>
          <w:tcPr>
            <w:tcW w:type="dxa" w:w="312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Geographic friction radar with NER heat maps</w:t>
            </w:r>
          </w:p>
        </w:tc>
      </w:tr>
    </w:tbl>
    <w:p/>
    <w:p>
      <w:pPr>
        <w:pStyle w:val="Heading2"/>
        <w:jc w:val="left"/>
      </w:pPr>
      <w:r>
        <w:rPr>
          <w:rFonts w:ascii="Calibri" w:hAnsi="Calibri" w:eastAsia="Calibri" w:cs="Calibri"/>
          <w:b/>
          <w:color w:val="B68A35"/>
          <w:sz w:val="26"/>
          <w:szCs w:val="26"/>
        </w:rPr>
        <w:t>Expected Aggregate Impact:</w:t>
      </w:r>
      <w:bookmarkStart w:id="25" w:name="_Toc000000025"/>
      <w:bookmarkEnd w:id="2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16.0%</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12+</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95%+</w:t>
            </w:r>
          </w:p>
        </w:tc>
        <w:tc>
          <w:tcPr>
            <w:tcW w:type="dxa" w:w="2340"/>
            <w:shd w:val="clear" w:color="auto" w:fill="B68A35"/>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color w:val="FFFFFF"/>
                <w:sz w:val="20"/>
                <w:szCs w:val="20"/>
              </w:rPr>
              <w:t>30-40%</w:t>
            </w:r>
          </w:p>
        </w:tc>
      </w:tr>
      <w:tr>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of contact requests are genuine inquiries fully transferable to proactive self-service</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cases eligible for elimination via proactive notification</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case classification accuracy following the automated classifier and application of the proposed initiatives</w:t>
            </w:r>
          </w:p>
        </w:tc>
        <w:tc>
          <w:tcPr>
            <w:tcW w:type="dxa" w:w="2340"/>
            <w:shd w:val="clear" w:color="auto" w:fill="FFFFFF"/>
            <w:tcMar>
              <w:top w:w="60" w:type="dxa"/>
              <w:bottom w:w="60" w:type="dxa"/>
              <w:left w:w="108" w:type="dxa"/>
              <w:right w:w="108" w:type="dxa"/>
            </w:tcMar>
            <w:tcBorders>
              <w:right w:val="single" w:sz="4" w:space="0" w:color="CCCCCC"/>
              <w:top w:val="single" w:sz="4" w:space="0" w:color="CCCCCC"/>
              <w:bottom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reduction in repeat contact cases and incoming calls</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12" w:space="4" w:color="B68A35"/>
      </w:pBdr>
    </w:pPr>
    <w:r>
      <w:rPr>
        <w:rFonts w:ascii="Calibri" w:hAnsi="Calibri" w:eastAsia="Calibri" w:cs="Calibri"/>
        <w:sz w:val="18"/>
        <w:szCs w:val="18"/>
      </w:rPr>
      <w:t xml:space="preserve">Confidential — Internal Use Only  |  Page </w:t>
    </w: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12" w:space="4" w:color="B68A35"/>
      </w:pBdr>
    </w:pPr>
    <w:r>
      <w:rPr>
        <w:rFonts w:ascii="Calibri" w:hAnsi="Calibri" w:eastAsia="Calibri" w:cs="Calibri"/>
        <w:color w:val="B68A35"/>
        <w:sz w:val="20"/>
        <w:szCs w:val="20"/>
      </w:rPr>
      <w:t>Customer Inquiry Analysis Report  ·  January - December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s="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cs="Calibri"/>
      <w:b/>
      <w:bCs/>
      <w:color w:val="B68A3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B68A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cs="Calibri"/>
      <w:b/>
      <w:bCs/>
      <w:color w:val="B68A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Heading">
    <w:name w:val="TOC Heading"/>
    <w:basedOn w:val="Heading1"/>
    <w:next w:val="Normal"/>
    <w:uiPriority w:val="39"/>
    <w:unhideWhenUsed/>
    <w:qFormat/>
    <w:pPr>
      <w:shd w:val="clear" w:color="auto" w:fill="B68A35"/>
      <w:spacing w:before="0" w:line="240" w:lineRule="auto"/>
      <w:ind w:left="0"/>
      <w:jc w:val="left"/>
    </w:pPr>
    <w:rPr>
      <w:rFonts w:ascii="Calibri" w:hAnsi="Calibri" w:cs="Calibri"/>
      <w:b/>
      <w:bCs/>
      <w:color w:val="FFFFFF"/>
    </w:rPr>
  </w:style>
  <w:style w:type="paragraph" w:styleId="TOC1">
    <w:name w:val="toc 1"/>
    <w:basedOn w:val="Normal"/>
    <w:next w:val="Normal"/>
    <w:autoRedefine/>
    <w:uiPriority w:val="39"/>
    <w:unhideWhenUsed/>
    <w:pPr>
      <w:tabs>
        <w:tab w:val="right" w:leader="dot" w:pos="9310"/>
      </w:tabs>
      <w:spacing w:after="100"/>
      <w:jc w:val="left"/>
    </w:pPr>
    <w:rPr>
      <w:rFonts w:cs="Calibri"/>
    </w:rPr>
  </w:style>
  <w:style w:type="paragraph" w:styleId="TOC2">
    <w:name w:val="toc 2"/>
    <w:basedOn w:val="Normal"/>
    <w:next w:val="Normal"/>
    <w:autoRedefine/>
    <w:uiPriority w:val="39"/>
    <w:unhideWhenUsed/>
    <w:pPr>
      <w:tabs>
        <w:tab w:val="right" w:leader="dot" w:pos="9310"/>
      </w:tabs>
      <w:spacing w:after="100"/>
      <w:jc w:val="left"/>
    </w:pPr>
    <w:rPr>
      <w:rFonts w:cs="Calibri"/>
    </w:rPr>
  </w:style>
  <w:style w:type="paragraph" w:styleId="TOC3">
    <w:name w:val="toc 3"/>
    <w:basedOn w:val="Normal"/>
    <w:next w:val="Normal"/>
    <w:autoRedefine/>
    <w:uiPriority w:val="39"/>
    <w:unhideWhenUsed/>
    <w:pPr>
      <w:tabs>
        <w:tab w:val="right" w:leader="dot" w:pos="9310"/>
      </w:tabs>
      <w:spacing w:after="100"/>
      <w:jc w:val="left"/>
    </w:pPr>
    <w:rPr>
      <w:rFonts w:cs="Calibri"/>
    </w:r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chart1_data.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lang="ar-SA" sz="1200"/>
              <a:t>Original Classification vs. Correct Classification</a:t>
            </a:r>
          </a:p>
        </c:rich>
      </c:tx>
      <c:overlay val="0"/>
    </c:title>
    <c:plotArea>
      <c:layout/>
      <c:barChart>
        <c:barDir val="col"/>
        <c:grouping val="clustered"/>
        <c:varyColors val="0"/>
        <c:ser>
          <c:idx val="0"/>
          <c:order val="0"/>
          <c:tx>
            <c:strRef>
              <c:f>Sheet1!$B$1</c:f>
              <c:strCache>
                <c:ptCount val="1"/>
                <c:pt idx="0">
                  <c:v>Correct Classification</c:v>
                </c:pt>
              </c:strCache>
            </c:strRef>
          </c:tx>
          <c:spPr>
            <a:solidFill>
              <a:srgbClr val="B68A35"/>
            </a:solidFill>
            <a:ln>
              <a:solidFill>
                <a:srgbClr val="B68A35"/>
              </a:solidFill>
            </a:ln>
          </c:spPr>
          <c:cat>
            <c:strRef>
              <c:f>Sheet1!$A$2:$A$5</c:f>
              <c:strCache>
                <c:ptCount val="4"/>
                <c:pt idx="0">
                  <c:v>Complaint</c:v>
                </c:pt>
                <c:pt idx="1">
                  <c:v>Inquiry</c:v>
                </c:pt>
                <c:pt idx="2">
                  <c:v>Request</c:v>
                </c:pt>
                <c:pt idx="3">
                  <c:v>Compliment</c:v>
                </c:pt>
              </c:strCache>
            </c:strRef>
          </c:cat>
          <c:val>
            <c:numRef>
              <c:f>Sheet1!$B$2:$B$5</c:f>
              <c:numCache>
                <c:formatCode>General</c:formatCode>
                <c:ptCount val="4"/>
                <c:pt idx="0">
                  <c:v>28.0</c:v>
                </c:pt>
                <c:pt idx="1">
                  <c:v>8.0</c:v>
                </c:pt>
                <c:pt idx="2">
                  <c:v>14.0</c:v>
                </c:pt>
                <c:pt idx="3">
                  <c:v>0.0</c:v>
                </c:pt>
              </c:numCache>
            </c:numRef>
          </c:val>
        </c:ser>
        <c:ser>
          <c:idx val="1"/>
          <c:order val="1"/>
          <c:tx>
            <c:strRef>
              <c:f>Sheet1!$C$1</c:f>
              <c:strCache>
                <c:ptCount val="1"/>
                <c:pt idx="0">
                  <c:v>Original Classification</c:v>
                </c:pt>
              </c:strCache>
            </c:strRef>
          </c:tx>
          <c:spPr>
            <a:solidFill>
              <a:srgbClr val="999999"/>
            </a:solidFill>
            <a:ln>
              <a:solidFill>
                <a:srgbClr val="999999"/>
              </a:solidFill>
            </a:ln>
          </c:spPr>
          <c:cat>
            <c:strRef>
              <c:f>Sheet1!$A$2:$A$5</c:f>
              <c:strCache>
                <c:ptCount val="4"/>
                <c:pt idx="0">
                  <c:v>Complaint</c:v>
                </c:pt>
                <c:pt idx="1">
                  <c:v>Inquiry</c:v>
                </c:pt>
                <c:pt idx="2">
                  <c:v>Request</c:v>
                </c:pt>
                <c:pt idx="3">
                  <c:v>Compliment</c:v>
                </c:pt>
              </c:strCache>
            </c:strRef>
          </c:cat>
          <c:val>
            <c:numRef>
              <c:f>Sheet1!$C$2:$C$5</c:f>
              <c:numCache>
                <c:formatCode>General</c:formatCode>
                <c:ptCount val="4"/>
                <c:pt idx="0">
                  <c:v>0.0</c:v>
                </c:pt>
                <c:pt idx="1">
                  <c:v>50.0</c:v>
                </c:pt>
                <c:pt idx="2">
                  <c:v>0.0</c:v>
                </c:pt>
                <c:pt idx="3">
                  <c:v>0.0</c:v>
                </c:pt>
              </c:numCache>
            </c:numRef>
          </c:val>
        </c:ser>
        <c:axId val="1"/>
        <c:axId val="2"/>
      </c:barChart>
      <c:catAx>
        <c:axId val="1"/>
        <c:scaling>
          <c:orientation val="minMax"/>
        </c:scaling>
        <c:delete val="0"/>
        <c:axPos val="b"/>
        <c:majorTickMark val="out"/>
        <c:minorTickMark val="none"/>
        <c:tickLblPos val="nextTo"/>
        <c:crossAx val="2"/>
        <c:crosses val="autoZero"/>
        <c:auto val="1"/>
        <c:lblAlgn val="ctr"/>
        <c:lblOffset val="100"/>
        <c:noMultiLvlLbl val="0"/>
        <c:txPr>
          <a:bodyPr/>
          <a:lstStyle/>
          <a:p>
            <a:pPr>
              <a:defRPr sz="900"/>
            </a:pPr>
          </a:p>
        </c:txPr>
      </c:catAx>
      <c:valAx>
        <c:axId val="2"/>
        <c:scaling/>
        <c:delete val="0"/>
        <c:axPos val="l"/>
        <c:majorGridlines/>
        <c:majorTickMark val="out"/>
        <c:minorTickMark val="none"/>
        <c:tickLblPos val="nextTo"/>
        <c:crossAx val="1"/>
        <c:crosses val="autoZero"/>
        <c:txPr>
          <a:bodyPr/>
          <a:lstStyle/>
          <a:p>
            <a:pPr>
              <a:defRPr sz="900"/>
            </a:pPr>
          </a:p>
        </c:txPr>
      </c:valAx>
      <c:spPr>
        <a:solidFill>
          <a:srgbClr val="FFFFFF"/>
        </a:solidFill>
      </c:spPr>
    </c:plotArea>
    <c:dispBlanksAs val="gap"/>
    <c:legend>
      <c:legendPos val="b"/>
      <c:overlay val="0"/>
      <c:txPr>
        <a:bodyPr/>
        <a:lstStyle/>
        <a:p>
          <a:pPr>
            <a:defRPr sz="900"/>
          </a:pPr>
        </a:p>
      </c:txPr>
    </c:legend>
    <c:plotVisOnly val="1"/>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