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240"/>
      </w:pPr>
    </w:p>
    <w:p>
      <w:pPr>
        <w:jc w:val="center"/>
      </w:pPr>
      <w:r>
        <w:drawing>
          <wp:inline xmlns:pic="http://schemas.openxmlformats.org/drawingml/2006/picture">
            <wp:extent cx="1508400" cy="986400"/>
            <wp:docPr id="1" name="Picture 1"/>
            <wp:cNvGraphicFramePr>
              <a:graphicFrameLocks noChangeAspect="1"/>
            </wp:cNvGraphicFramePr>
            <a:graphic>
              <a:graphicData uri="http://schemas.openxmlformats.org/drawingml/2006/picture">
                <pic:pic>
                  <pic:nvPicPr>
                    <pic:cNvPr id="0" name="fujairah-short-logo.png"/>
                    <pic:cNvPicPr/>
                  </pic:nvPicPr>
                  <pic:blipFill>
                    <a:blip r:embed="rId11"/>
                    <a:stretch>
                      <a:fillRect/>
                    </a:stretch>
                  </pic:blipFill>
                  <pic:spPr>
                    <a:xfrm>
                      <a:off x="0" y="0"/>
                      <a:ext cx="1508400" cy="986400"/>
                    </a:xfrm>
                    <a:prstGeom prst="rect"/>
                  </pic:spPr>
                </pic:pic>
              </a:graphicData>
            </a:graphic>
          </wp:inline>
        </w:drawing>
      </w:r>
    </w:p>
    <w:p>
      <w:pPr>
        <w:spacing w:before="160" w:after="160"/>
        <w:pBdr>
          <w:bottom w:val="single" w:sz="12" w:space="4" w:color="B68A35"/>
        </w:pBdr>
      </w:pPr>
    </w:p>
    <w:p>
      <w:pPr>
        <w:bidi w:val="1"/>
        <w:pStyle w:val="Heading1"/>
        <w:spacing w:before="240" w:after="240"/>
        <w:jc w:val="center"/>
      </w:pPr>
      <w:r>
        <w:rPr>
          <w:rFonts w:ascii="Dubai" w:hAnsi="Dubai" w:eastAsia="Dubai" w:cs="Dubai"/>
          <w:b/>
          <w:color w:val="B68A35"/>
          <w:sz w:val="52"/>
          <w:szCs w:val="32"/>
          <w:rtl/>
        </w:rPr>
        <w:t>تقرير تحليل استفسارات المتعاملين — يناير - ديسمبر 2025</w:t>
      </w:r>
      <w:bookmarkStart w:id="1" w:name="_Toc000000001"/>
      <w:bookmarkEnd w:id="1"/>
    </w:p>
    <w:p>
      <w:pPr>
        <w:spacing w:before="160" w:after="160"/>
        <w:pBdr>
          <w:bottom w:val="single" w:sz="12" w:space="4" w:color="B68A35"/>
        </w:pBdr>
      </w:pPr>
    </w:p>
    <w:p>
      <w:pPr>
        <w:spacing w:before="0" w:after="320"/>
      </w:pPr>
    </w:p>
    <w:p>
      <w:pPr>
        <w:bidi w:val="1"/>
        <w:spacing w:after="160"/>
        <w:jc w:val="center"/>
      </w:pPr>
      <w:r>
        <w:rPr>
          <w:rFonts w:ascii="Dubai" w:hAnsi="Dubai" w:eastAsia="Dubai" w:cs="Dubai"/>
          <w:b/>
          <w:i w:val="0"/>
          <w:color w:val="B68A35"/>
          <w:sz w:val="28"/>
          <w:szCs w:val="24"/>
          <w:u w:val="none"/>
          <w:rtl/>
        </w:rPr>
        <w:t>يناير - ديسمبر 2025</w:t>
      </w:r>
    </w:p>
    <w:p>
      <w:pPr>
        <w:spacing w:before="0" w:after="320"/>
      </w:pPr>
    </w:p>
    <w:p>
      <w:pPr>
        <w:bidi w:val="1"/>
        <w:spacing w:after="160"/>
        <w:jc w:val="center"/>
      </w:pPr>
      <w:r>
        <w:rPr>
          <w:rFonts w:ascii="Dubai" w:hAnsi="Dubai" w:eastAsia="Dubai" w:cs="Dubai"/>
          <w:b/>
          <w:i w:val="0"/>
          <w:color w:val="B68A35"/>
          <w:sz w:val="28"/>
          <w:szCs w:val="24"/>
          <w:u w:val="none"/>
          <w:rtl/>
        </w:rPr>
        <w:t>إجمالي الحالات المغلقة: 49 حالة</w:t>
      </w:r>
    </w:p>
    <w:p>
      <w:pPr>
        <w:bidi w:val="1"/>
        <w:spacing w:after="160"/>
        <w:jc w:val="center"/>
      </w:pPr>
      <w:r>
        <w:rPr>
          <w:rFonts w:ascii="Dubai" w:hAnsi="Dubai" w:eastAsia="Dubai" w:cs="Dubai"/>
          <w:b/>
          <w:i w:val="0"/>
          <w:color w:val="B68A35"/>
          <w:sz w:val="28"/>
          <w:szCs w:val="24"/>
          <w:u w:val="none"/>
          <w:rtl/>
        </w:rPr>
        <w:t>الشكاوى: 60.0% من إجمالي التواصل</w:t>
      </w:r>
    </w:p>
    <w:p>
      <w:pPr>
        <w:bidi w:val="1"/>
        <w:spacing w:after="160"/>
        <w:jc w:val="center"/>
      </w:pPr>
      <w:r>
        <w:rPr>
          <w:rFonts w:ascii="Dubai" w:hAnsi="Dubai" w:eastAsia="Dubai" w:cs="Dubai"/>
          <w:b/>
          <w:i w:val="0"/>
          <w:color w:val="B68A35"/>
          <w:sz w:val="28"/>
          <w:szCs w:val="24"/>
          <w:u w:val="none"/>
          <w:rtl/>
        </w:rPr>
        <w:t>معدل الإغلاق في الوقت المحدد: 98%</w:t>
      </w:r>
    </w:p>
    <w:p>
      <w:pPr>
        <w:spacing w:before="0" w:after="640"/>
      </w:pPr>
    </w:p>
    <w:p>
      <w:pPr>
        <w:bidi w:val="1"/>
        <w:spacing w:after="0"/>
        <w:jc w:val="center"/>
      </w:pPr>
      <w:r>
        <w:rPr>
          <w:rFonts w:ascii="Dubai" w:hAnsi="Dubai" w:eastAsia="Dubai" w:cs="Dubai"/>
          <w:b w:val="0"/>
          <w:i w:val="0"/>
          <w:color w:val="606060"/>
          <w:sz w:val="24"/>
          <w:szCs w:val="24"/>
          <w:u w:val="none"/>
          <w:rtl/>
        </w:rPr>
        <w:t>شرطة الفجيرة  |  2026-05-15  |  تحليل ذكاء الأعمال المتكامل</w:t>
      </w:r>
    </w:p>
    <w:p>
      <w:r>
        <w:br w:type="page"/>
      </w:r>
    </w:p>
    <w:sdt>
      <w:sdtPr>
        <w:docPartObj>
          <w:docPartGallery w:val="Table of Contents"/>
          <w:docPartUnique/>
        </w:docPartObj>
      </w:sdtPr>
      <w:sdtEndPr/>
      <w:sdtContent>
        <w:p>
          <w:pPr>
            <w:pStyle w:val="TOCHeading"/>
          </w:pPr>
          <w:r>
            <w:rPr>
              <w:rFonts w:ascii="Dubai" w:hAnsi="Dubai" w:cs="Dubai"/>
              <w:color w:val="FFFFFF"/>
              <w:rtl/>
            </w:rPr>
            <w:t>المحتويات</w:t>
          </w:r>
        </w:p>
        <w:p>
          <w:pPr>
            <w:pStyle w:val="TOC1"/>
          </w:pPr>
          <w:r>
            <w:fldChar w:fldCharType="begin"/>
          </w:r>
          <w:r>
            <w:instrText xml:space="preserve"> TOC \o "1-3" \h \z \u </w:instrText>
          </w:r>
          <w:r>
            <w:fldChar w:fldCharType="separate"/>
          </w:r>
          <w:hyperlink w:anchor="_Toc000000002" w:history="1">
            <w:r>
              <w:rPr>
                <w:rStyle w:val="Hyperlink"/>
                <w:rFonts w:ascii="Dubai" w:hAnsi="Dubai" w:cs="Dubai"/>
                <w:noProof/>
                <w:rtl/>
              </w:rPr>
              <w:t>أولاً: الملخص التنفيذي — التحليلات الرئيسية</w:t>
            </w:r>
            <w:r>
              <w:rPr>
                <w:noProof/>
                <w:webHidden/>
              </w:rPr>
              <w:tab/>
            </w:r>
            <w:r>
              <w:fldChar w:fldCharType="begin"/>
            </w:r>
            <w:r>
              <w:instrText xml:space="preserve"> PAGEREF _Toc000000002 \h </w:instrText>
            </w:r>
            <w:r>
              <w:rPr>
                <w:noProof/>
                <w:webHidden/>
              </w:rPr>
              <w:fldChar w:fldCharType="separate"/>
            </w:r>
            <w:r>
              <w:rPr>
                <w:noProof/>
                <w:webHidden/>
                <w:rtl/>
              </w:rPr>
              <w:t>1</w:t>
            </w:r>
            <w:r>
              <w:rPr>
                <w:noProof/>
                <w:webHidden/>
              </w:rPr>
              <w:fldChar w:fldCharType="end"/>
            </w:r>
          </w:hyperlink>
        </w:p>
        <w:p>
          <w:pPr>
            <w:pStyle w:val="TOC2"/>
          </w:pPr>
          <w:hyperlink w:anchor="_Toc000000003" w:history="1">
            <w:r>
              <w:rPr>
                <w:rStyle w:val="Hyperlink"/>
                <w:rFonts w:ascii="Dubai" w:hAnsi="Dubai" w:cs="Dubai"/>
                <w:noProof/>
                <w:rtl/>
              </w:rPr>
              <w:t>النتائج الرئيسية</w:t>
            </w:r>
            <w:r>
              <w:rPr>
                <w:noProof/>
                <w:webHidden/>
              </w:rPr>
              <w:tab/>
            </w:r>
            <w:r>
              <w:fldChar w:fldCharType="begin"/>
            </w:r>
            <w:r>
              <w:instrText xml:space="preserve"> PAGEREF _Toc000000003 \h </w:instrText>
            </w:r>
            <w:r>
              <w:rPr>
                <w:noProof/>
                <w:webHidden/>
              </w:rPr>
              <w:fldChar w:fldCharType="separate"/>
            </w:r>
            <w:r>
              <w:rPr>
                <w:noProof/>
                <w:webHidden/>
                <w:rtl/>
              </w:rPr>
              <w:t>1</w:t>
            </w:r>
            <w:r>
              <w:rPr>
                <w:noProof/>
                <w:webHidden/>
              </w:rPr>
              <w:fldChar w:fldCharType="end"/>
            </w:r>
          </w:hyperlink>
        </w:p>
        <w:p>
          <w:pPr>
            <w:pStyle w:val="TOC1"/>
          </w:pPr>
          <w:hyperlink w:anchor="_Toc000000004" w:history="1">
            <w:r>
              <w:rPr>
                <w:rStyle w:val="Hyperlink"/>
                <w:rFonts w:ascii="Dubai" w:hAnsi="Dubai" w:cs="Dubai"/>
                <w:noProof/>
                <w:rtl/>
              </w:rPr>
              <w:t>ثانياً: المنهجية وطبيعة المصادر</w:t>
            </w:r>
            <w:r>
              <w:rPr>
                <w:noProof/>
                <w:webHidden/>
              </w:rPr>
              <w:tab/>
            </w:r>
            <w:r>
              <w:fldChar w:fldCharType="begin"/>
            </w:r>
            <w:r>
              <w:instrText xml:space="preserve"> PAGEREF _Toc000000004 \h </w:instrText>
            </w:r>
            <w:r>
              <w:rPr>
                <w:noProof/>
                <w:webHidden/>
              </w:rPr>
              <w:fldChar w:fldCharType="separate"/>
            </w:r>
            <w:r>
              <w:rPr>
                <w:noProof/>
                <w:webHidden/>
                <w:rtl/>
              </w:rPr>
              <w:t>1</w:t>
            </w:r>
            <w:r>
              <w:rPr>
                <w:noProof/>
                <w:webHidden/>
              </w:rPr>
              <w:fldChar w:fldCharType="end"/>
            </w:r>
          </w:hyperlink>
        </w:p>
        <w:p>
          <w:pPr>
            <w:pStyle w:val="TOC2"/>
          </w:pPr>
          <w:hyperlink w:anchor="_Toc000000005" w:history="1">
            <w:r>
              <w:rPr>
                <w:rStyle w:val="Hyperlink"/>
                <w:rFonts w:ascii="Dubai" w:hAnsi="Dubai" w:cs="Dubai"/>
                <w:noProof/>
                <w:rtl/>
              </w:rPr>
              <w:t>2.1  المصادر المُحلَّلة</w:t>
            </w:r>
            <w:r>
              <w:rPr>
                <w:noProof/>
                <w:webHidden/>
              </w:rPr>
              <w:tab/>
            </w:r>
            <w:r>
              <w:fldChar w:fldCharType="begin"/>
            </w:r>
            <w:r>
              <w:instrText xml:space="preserve"> PAGEREF _Toc000000005 \h </w:instrText>
            </w:r>
            <w:r>
              <w:rPr>
                <w:noProof/>
                <w:webHidden/>
              </w:rPr>
              <w:fldChar w:fldCharType="separate"/>
            </w:r>
            <w:r>
              <w:rPr>
                <w:noProof/>
                <w:webHidden/>
                <w:rtl/>
              </w:rPr>
              <w:t>1</w:t>
            </w:r>
            <w:r>
              <w:rPr>
                <w:noProof/>
                <w:webHidden/>
              </w:rPr>
              <w:fldChar w:fldCharType="end"/>
            </w:r>
          </w:hyperlink>
        </w:p>
        <w:p>
          <w:pPr>
            <w:pStyle w:val="TOC2"/>
          </w:pPr>
          <w:hyperlink w:anchor="_Toc000000006" w:history="1">
            <w:r>
              <w:rPr>
                <w:rStyle w:val="Hyperlink"/>
                <w:rFonts w:ascii="Dubai" w:hAnsi="Dubai" w:cs="Dubai"/>
                <w:noProof/>
                <w:rtl/>
              </w:rPr>
              <w:t>2.2  منهجية التصنيف</w:t>
            </w:r>
            <w:r>
              <w:rPr>
                <w:noProof/>
                <w:webHidden/>
              </w:rPr>
              <w:tab/>
            </w:r>
            <w:r>
              <w:fldChar w:fldCharType="begin"/>
            </w:r>
            <w:r>
              <w:instrText xml:space="preserve"> PAGEREF _Toc000000006 \h </w:instrText>
            </w:r>
            <w:r>
              <w:rPr>
                <w:noProof/>
                <w:webHidden/>
              </w:rPr>
              <w:fldChar w:fldCharType="separate"/>
            </w:r>
            <w:r>
              <w:rPr>
                <w:noProof/>
                <w:webHidden/>
                <w:rtl/>
              </w:rPr>
              <w:t>1</w:t>
            </w:r>
            <w:r>
              <w:rPr>
                <w:noProof/>
                <w:webHidden/>
              </w:rPr>
              <w:fldChar w:fldCharType="end"/>
            </w:r>
          </w:hyperlink>
        </w:p>
        <w:p>
          <w:pPr>
            <w:pStyle w:val="TOC2"/>
          </w:pPr>
          <w:hyperlink w:anchor="_Toc000000007" w:history="1">
            <w:r>
              <w:rPr>
                <w:rStyle w:val="Hyperlink"/>
                <w:rFonts w:ascii="Dubai" w:hAnsi="Dubai" w:cs="Dubai"/>
                <w:noProof/>
                <w:rtl/>
              </w:rPr>
              <w:t>2.3  الحقول المُحلَّلة</w:t>
            </w:r>
            <w:r>
              <w:rPr>
                <w:noProof/>
                <w:webHidden/>
              </w:rPr>
              <w:tab/>
            </w:r>
            <w:r>
              <w:fldChar w:fldCharType="begin"/>
            </w:r>
            <w:r>
              <w:instrText xml:space="preserve"> PAGEREF _Toc000000007 \h </w:instrText>
            </w:r>
            <w:r>
              <w:rPr>
                <w:noProof/>
                <w:webHidden/>
              </w:rPr>
              <w:fldChar w:fldCharType="separate"/>
            </w:r>
            <w:r>
              <w:rPr>
                <w:noProof/>
                <w:webHidden/>
                <w:rtl/>
              </w:rPr>
              <w:t>1</w:t>
            </w:r>
            <w:r>
              <w:rPr>
                <w:noProof/>
                <w:webHidden/>
              </w:rPr>
              <w:fldChar w:fldCharType="end"/>
            </w:r>
          </w:hyperlink>
        </w:p>
        <w:p>
          <w:pPr>
            <w:pStyle w:val="TOC1"/>
          </w:pPr>
          <w:hyperlink w:anchor="_Toc000000008" w:history="1">
            <w:r>
              <w:rPr>
                <w:rStyle w:val="Hyperlink"/>
                <w:rFonts w:ascii="Dubai" w:hAnsi="Dubai" w:cs="Dubai"/>
                <w:noProof/>
                <w:rtl/>
              </w:rPr>
              <w:t>ثالثاً: التحليل الأول — خريطة تصنيف الطلبات</w:t>
            </w:r>
            <w:r>
              <w:rPr>
                <w:noProof/>
                <w:webHidden/>
              </w:rPr>
              <w:tab/>
            </w:r>
            <w:r>
              <w:fldChar w:fldCharType="begin"/>
            </w:r>
            <w:r>
              <w:instrText xml:space="preserve"> PAGEREF _Toc000000008 \h </w:instrText>
            </w:r>
            <w:r>
              <w:rPr>
                <w:noProof/>
                <w:webHidden/>
              </w:rPr>
              <w:fldChar w:fldCharType="separate"/>
            </w:r>
            <w:r>
              <w:rPr>
                <w:noProof/>
                <w:webHidden/>
                <w:rtl/>
              </w:rPr>
              <w:t>1</w:t>
            </w:r>
            <w:r>
              <w:rPr>
                <w:noProof/>
                <w:webHidden/>
              </w:rPr>
              <w:fldChar w:fldCharType="end"/>
            </w:r>
          </w:hyperlink>
        </w:p>
        <w:p>
          <w:pPr>
            <w:pStyle w:val="TOC2"/>
          </w:pPr>
          <w:hyperlink w:anchor="_Toc000000009" w:history="1">
            <w:r>
              <w:rPr>
                <w:rStyle w:val="Hyperlink"/>
                <w:rFonts w:ascii="Dubai" w:hAnsi="Dubai" w:cs="Dubai"/>
                <w:noProof/>
                <w:rtl/>
              </w:rPr>
              <w:t>3.1  التوزيع الفعلي لأنواع التواصل</w:t>
            </w:r>
            <w:r>
              <w:rPr>
                <w:noProof/>
                <w:webHidden/>
              </w:rPr>
              <w:tab/>
            </w:r>
            <w:r>
              <w:fldChar w:fldCharType="begin"/>
            </w:r>
            <w:r>
              <w:instrText xml:space="preserve"> PAGEREF _Toc000000009 \h </w:instrText>
            </w:r>
            <w:r>
              <w:rPr>
                <w:noProof/>
                <w:webHidden/>
              </w:rPr>
              <w:fldChar w:fldCharType="separate"/>
            </w:r>
            <w:r>
              <w:rPr>
                <w:noProof/>
                <w:webHidden/>
                <w:rtl/>
              </w:rPr>
              <w:t>1</w:t>
            </w:r>
            <w:r>
              <w:rPr>
                <w:noProof/>
                <w:webHidden/>
              </w:rPr>
              <w:fldChar w:fldCharType="end"/>
            </w:r>
          </w:hyperlink>
        </w:p>
        <w:p>
          <w:pPr>
            <w:pStyle w:val="TOC2"/>
          </w:pPr>
          <w:hyperlink w:anchor="_Toc000000010" w:history="1">
            <w:r>
              <w:rPr>
                <w:rStyle w:val="Hyperlink"/>
                <w:rFonts w:ascii="Dubai" w:hAnsi="Dubai" w:cs="Dubai"/>
                <w:noProof/>
                <w:rtl/>
              </w:rPr>
              <w:t>3.2  دقة التصنيف — 92.0% من الحالات تم إعادة تصنيفها</w:t>
            </w:r>
            <w:r>
              <w:rPr>
                <w:noProof/>
                <w:webHidden/>
              </w:rPr>
              <w:tab/>
            </w:r>
            <w:r>
              <w:fldChar w:fldCharType="begin"/>
            </w:r>
            <w:r>
              <w:instrText xml:space="preserve"> PAGEREF _Toc000000010 \h </w:instrText>
            </w:r>
            <w:r>
              <w:rPr>
                <w:noProof/>
                <w:webHidden/>
              </w:rPr>
              <w:fldChar w:fldCharType="separate"/>
            </w:r>
            <w:r>
              <w:rPr>
                <w:noProof/>
                <w:webHidden/>
                <w:rtl/>
              </w:rPr>
              <w:t>1</w:t>
            </w:r>
            <w:r>
              <w:rPr>
                <w:noProof/>
                <w:webHidden/>
              </w:rPr>
              <w:fldChar w:fldCharType="end"/>
            </w:r>
          </w:hyperlink>
        </w:p>
        <w:p>
          <w:pPr>
            <w:pStyle w:val="TOC2"/>
          </w:pPr>
          <w:hyperlink w:anchor="_Toc000000011" w:history="1">
            <w:r>
              <w:rPr>
                <w:rStyle w:val="Hyperlink"/>
                <w:rFonts w:ascii="Dubai" w:hAnsi="Dubai" w:cs="Dubai"/>
                <w:noProof/>
                <w:rtl/>
              </w:rPr>
              <w:t>3.3  تفصيل الشكاوى (30 حالة — 60.0%)</w:t>
            </w:r>
            <w:r>
              <w:rPr>
                <w:noProof/>
                <w:webHidden/>
              </w:rPr>
              <w:tab/>
            </w:r>
            <w:r>
              <w:fldChar w:fldCharType="begin"/>
            </w:r>
            <w:r>
              <w:instrText xml:space="preserve"> PAGEREF _Toc000000011 \h </w:instrText>
            </w:r>
            <w:r>
              <w:rPr>
                <w:noProof/>
                <w:webHidden/>
              </w:rPr>
              <w:fldChar w:fldCharType="separate"/>
            </w:r>
            <w:r>
              <w:rPr>
                <w:noProof/>
                <w:webHidden/>
                <w:rtl/>
              </w:rPr>
              <w:t>1</w:t>
            </w:r>
            <w:r>
              <w:rPr>
                <w:noProof/>
                <w:webHidden/>
              </w:rPr>
              <w:fldChar w:fldCharType="end"/>
            </w:r>
          </w:hyperlink>
        </w:p>
        <w:p>
          <w:pPr>
            <w:pStyle w:val="TOC2"/>
          </w:pPr>
          <w:hyperlink w:anchor="_Toc000000012" w:history="1">
            <w:r>
              <w:rPr>
                <w:rStyle w:val="Hyperlink"/>
                <w:rFonts w:ascii="Dubai" w:hAnsi="Dubai" w:cs="Dubai"/>
                <w:noProof/>
                <w:rtl/>
              </w:rPr>
              <w:t>3.4  تفصيل الطلبات والاستفسارات</w:t>
            </w:r>
            <w:r>
              <w:rPr>
                <w:noProof/>
                <w:webHidden/>
              </w:rPr>
              <w:tab/>
            </w:r>
            <w:r>
              <w:fldChar w:fldCharType="begin"/>
            </w:r>
            <w:r>
              <w:instrText xml:space="preserve"> PAGEREF _Toc000000012 \h </w:instrText>
            </w:r>
            <w:r>
              <w:rPr>
                <w:noProof/>
                <w:webHidden/>
              </w:rPr>
              <w:fldChar w:fldCharType="separate"/>
            </w:r>
            <w:r>
              <w:rPr>
                <w:noProof/>
                <w:webHidden/>
                <w:rtl/>
              </w:rPr>
              <w:t>1</w:t>
            </w:r>
            <w:r>
              <w:rPr>
                <w:noProof/>
                <w:webHidden/>
              </w:rPr>
              <w:fldChar w:fldCharType="end"/>
            </w:r>
          </w:hyperlink>
        </w:p>
        <w:p>
          <w:pPr>
            <w:pStyle w:val="TOC2"/>
          </w:pPr>
          <w:hyperlink w:anchor="_Toc000000013" w:history="1">
            <w:r>
              <w:rPr>
                <w:rStyle w:val="Hyperlink"/>
                <w:rFonts w:ascii="Dubai" w:hAnsi="Dubai" w:cs="Dubai"/>
                <w:noProof/>
                <w:rtl/>
              </w:rPr>
              <w:t>3.5  أبرز الاستفسارات المتكررة (4 حالات — 8.0%) — وهي الفئة الأكثر قابليةً للتحويل إلى خدمة ذاتية رقمية كاملة</w:t>
            </w:r>
            <w:r>
              <w:rPr>
                <w:noProof/>
                <w:webHidden/>
              </w:rPr>
              <w:tab/>
            </w:r>
            <w:r>
              <w:fldChar w:fldCharType="begin"/>
            </w:r>
            <w:r>
              <w:instrText xml:space="preserve"> PAGEREF _Toc000000013 \h </w:instrText>
            </w:r>
            <w:r>
              <w:rPr>
                <w:noProof/>
                <w:webHidden/>
              </w:rPr>
              <w:fldChar w:fldCharType="separate"/>
            </w:r>
            <w:r>
              <w:rPr>
                <w:noProof/>
                <w:webHidden/>
                <w:rtl/>
              </w:rPr>
              <w:t>1</w:t>
            </w:r>
            <w:r>
              <w:rPr>
                <w:noProof/>
                <w:webHidden/>
              </w:rPr>
              <w:fldChar w:fldCharType="end"/>
            </w:r>
          </w:hyperlink>
        </w:p>
        <w:p>
          <w:pPr>
            <w:pStyle w:val="TOC1"/>
          </w:pPr>
          <w:hyperlink w:anchor="_Toc000000014" w:history="1">
            <w:r>
              <w:rPr>
                <w:rStyle w:val="Hyperlink"/>
                <w:rFonts w:ascii="Dubai" w:hAnsi="Dubai" w:cs="Dubai"/>
                <w:noProof/>
                <w:rtl/>
              </w:rPr>
              <w:t>رابعاً: التحليل الثاني — التحديات في رحلة المتعامل</w:t>
            </w:r>
            <w:r>
              <w:rPr>
                <w:noProof/>
                <w:webHidden/>
              </w:rPr>
              <w:tab/>
            </w:r>
            <w:r>
              <w:fldChar w:fldCharType="begin"/>
            </w:r>
            <w:r>
              <w:instrText xml:space="preserve"> PAGEREF _Toc000000014 \h </w:instrText>
            </w:r>
            <w:r>
              <w:rPr>
                <w:noProof/>
                <w:webHidden/>
              </w:rPr>
              <w:fldChar w:fldCharType="separate"/>
            </w:r>
            <w:r>
              <w:rPr>
                <w:noProof/>
                <w:webHidden/>
                <w:rtl/>
              </w:rPr>
              <w:t>1</w:t>
            </w:r>
            <w:r>
              <w:rPr>
                <w:noProof/>
                <w:webHidden/>
              </w:rPr>
              <w:fldChar w:fldCharType="end"/>
            </w:r>
          </w:hyperlink>
        </w:p>
        <w:p>
          <w:pPr>
            <w:pStyle w:val="TOC1"/>
          </w:pPr>
          <w:hyperlink w:anchor="_Toc000000015" w:history="1">
            <w:r>
              <w:rPr>
                <w:rStyle w:val="Hyperlink"/>
                <w:rFonts w:ascii="Dubai" w:hAnsi="Dubai" w:cs="Dubai"/>
                <w:noProof/>
                <w:rtl/>
              </w:rPr>
              <w:t>خامساً: التحليل الثالث — تحليل الفجوات الرقمية</w:t>
            </w:r>
            <w:r>
              <w:rPr>
                <w:noProof/>
                <w:webHidden/>
              </w:rPr>
              <w:tab/>
            </w:r>
            <w:r>
              <w:fldChar w:fldCharType="begin"/>
            </w:r>
            <w:r>
              <w:instrText xml:space="preserve"> PAGEREF _Toc000000015 \h </w:instrText>
            </w:r>
            <w:r>
              <w:rPr>
                <w:noProof/>
                <w:webHidden/>
              </w:rPr>
              <w:fldChar w:fldCharType="separate"/>
            </w:r>
            <w:r>
              <w:rPr>
                <w:noProof/>
                <w:webHidden/>
                <w:rtl/>
              </w:rPr>
              <w:t>1</w:t>
            </w:r>
            <w:r>
              <w:rPr>
                <w:noProof/>
                <w:webHidden/>
              </w:rPr>
              <w:fldChar w:fldCharType="end"/>
            </w:r>
          </w:hyperlink>
        </w:p>
        <w:p>
          <w:pPr>
            <w:pStyle w:val="TOC2"/>
          </w:pPr>
          <w:hyperlink w:anchor="_Toc000000016" w:history="1">
            <w:r>
              <w:rPr>
                <w:rStyle w:val="Hyperlink"/>
                <w:rFonts w:ascii="Dubai" w:hAnsi="Dubai" w:cs="Dubai"/>
                <w:noProof/>
                <w:rtl/>
              </w:rPr>
              <w:t>5.1  جدول الفجوات المُدمج</w:t>
            </w:r>
            <w:r>
              <w:rPr>
                <w:noProof/>
                <w:webHidden/>
              </w:rPr>
              <w:tab/>
            </w:r>
            <w:r>
              <w:fldChar w:fldCharType="begin"/>
            </w:r>
            <w:r>
              <w:instrText xml:space="preserve"> PAGEREF _Toc000000016 \h </w:instrText>
            </w:r>
            <w:r>
              <w:rPr>
                <w:noProof/>
                <w:webHidden/>
              </w:rPr>
              <w:fldChar w:fldCharType="separate"/>
            </w:r>
            <w:r>
              <w:rPr>
                <w:noProof/>
                <w:webHidden/>
                <w:rtl/>
              </w:rPr>
              <w:t>1</w:t>
            </w:r>
            <w:r>
              <w:rPr>
                <w:noProof/>
                <w:webHidden/>
              </w:rPr>
              <w:fldChar w:fldCharType="end"/>
            </w:r>
          </w:hyperlink>
        </w:p>
        <w:p>
          <w:pPr>
            <w:pStyle w:val="TOC2"/>
          </w:pPr>
          <w:hyperlink w:anchor="_Toc000000017" w:history="1">
            <w:r>
              <w:rPr>
                <w:rStyle w:val="Hyperlink"/>
                <w:rFonts w:ascii="Dubai" w:hAnsi="Dubai" w:cs="Dubai"/>
                <w:noProof/>
                <w:rtl/>
              </w:rPr>
              <w:t>5.2  الأسباب الجذرية لاستمرار المشكلات</w:t>
            </w:r>
            <w:r>
              <w:rPr>
                <w:noProof/>
                <w:webHidden/>
              </w:rPr>
              <w:tab/>
            </w:r>
            <w:r>
              <w:fldChar w:fldCharType="begin"/>
            </w:r>
            <w:r>
              <w:instrText xml:space="preserve"> PAGEREF _Toc000000017 \h </w:instrText>
            </w:r>
            <w:r>
              <w:rPr>
                <w:noProof/>
                <w:webHidden/>
              </w:rPr>
              <w:fldChar w:fldCharType="separate"/>
            </w:r>
            <w:r>
              <w:rPr>
                <w:noProof/>
                <w:webHidden/>
                <w:rtl/>
              </w:rPr>
              <w:t>1</w:t>
            </w:r>
            <w:r>
              <w:rPr>
                <w:noProof/>
                <w:webHidden/>
              </w:rPr>
              <w:fldChar w:fldCharType="end"/>
            </w:r>
          </w:hyperlink>
        </w:p>
        <w:p>
          <w:pPr>
            <w:pStyle w:val="TOC1"/>
          </w:pPr>
          <w:hyperlink w:anchor="_Toc000000018" w:history="1">
            <w:r>
              <w:rPr>
                <w:rStyle w:val="Hyperlink"/>
                <w:rFonts w:ascii="Dubai" w:hAnsi="Dubai" w:cs="Dubai"/>
                <w:noProof/>
                <w:rtl/>
              </w:rPr>
              <w:t>سادساً: التحليل الرابع — خطة التحويل الرقمي</w:t>
            </w:r>
            <w:r>
              <w:rPr>
                <w:noProof/>
                <w:webHidden/>
              </w:rPr>
              <w:tab/>
            </w:r>
            <w:r>
              <w:fldChar w:fldCharType="begin"/>
            </w:r>
            <w:r>
              <w:instrText xml:space="preserve"> PAGEREF _Toc000000018 \h </w:instrText>
            </w:r>
            <w:r>
              <w:rPr>
                <w:noProof/>
                <w:webHidden/>
              </w:rPr>
              <w:fldChar w:fldCharType="separate"/>
            </w:r>
            <w:r>
              <w:rPr>
                <w:noProof/>
                <w:webHidden/>
                <w:rtl/>
              </w:rPr>
              <w:t>1</w:t>
            </w:r>
            <w:r>
              <w:rPr>
                <w:noProof/>
                <w:webHidden/>
              </w:rPr>
              <w:fldChar w:fldCharType="end"/>
            </w:r>
          </w:hyperlink>
        </w:p>
        <w:p>
          <w:pPr>
            <w:pStyle w:val="TOC2"/>
          </w:pPr>
          <w:hyperlink w:anchor="_Toc000000019" w:history="1">
            <w:r>
              <w:rPr>
                <w:rStyle w:val="Hyperlink"/>
                <w:rFonts w:ascii="Dubai" w:hAnsi="Dubai" w:cs="Dubai"/>
                <w:noProof/>
                <w:rtl/>
              </w:rPr>
              <w:t>6.1  الأسئلة الشائعة ذات الأولوية</w:t>
            </w:r>
            <w:r>
              <w:rPr>
                <w:noProof/>
                <w:webHidden/>
              </w:rPr>
              <w:tab/>
            </w:r>
            <w:r>
              <w:fldChar w:fldCharType="begin"/>
            </w:r>
            <w:r>
              <w:instrText xml:space="preserve"> PAGEREF _Toc000000019 \h </w:instrText>
            </w:r>
            <w:r>
              <w:rPr>
                <w:noProof/>
                <w:webHidden/>
              </w:rPr>
              <w:fldChar w:fldCharType="separate"/>
            </w:r>
            <w:r>
              <w:rPr>
                <w:noProof/>
                <w:webHidden/>
                <w:rtl/>
              </w:rPr>
              <w:t>1</w:t>
            </w:r>
            <w:r>
              <w:rPr>
                <w:noProof/>
                <w:webHidden/>
              </w:rPr>
              <w:fldChar w:fldCharType="end"/>
            </w:r>
          </w:hyperlink>
        </w:p>
        <w:p>
          <w:pPr>
            <w:pStyle w:val="TOC2"/>
          </w:pPr>
          <w:hyperlink w:anchor="_Toc000000020" w:history="1">
            <w:r>
              <w:rPr>
                <w:rStyle w:val="Hyperlink"/>
                <w:rFonts w:ascii="Dubai" w:hAnsi="Dubai" w:cs="Dubai"/>
                <w:noProof/>
                <w:rtl/>
              </w:rPr>
              <w:t>6.2  مسار إلغاء 10+ حالة تواصل بالإشعار الاستباقي</w:t>
            </w:r>
            <w:r>
              <w:rPr>
                <w:noProof/>
                <w:webHidden/>
              </w:rPr>
              <w:tab/>
            </w:r>
            <w:r>
              <w:fldChar w:fldCharType="begin"/>
            </w:r>
            <w:r>
              <w:instrText xml:space="preserve"> PAGEREF _Toc000000020 \h </w:instrText>
            </w:r>
            <w:r>
              <w:rPr>
                <w:noProof/>
                <w:webHidden/>
              </w:rPr>
              <w:fldChar w:fldCharType="separate"/>
            </w:r>
            <w:r>
              <w:rPr>
                <w:noProof/>
                <w:webHidden/>
                <w:rtl/>
              </w:rPr>
              <w:t>1</w:t>
            </w:r>
            <w:r>
              <w:rPr>
                <w:noProof/>
                <w:webHidden/>
              </w:rPr>
              <w:fldChar w:fldCharType="end"/>
            </w:r>
          </w:hyperlink>
        </w:p>
        <w:p>
          <w:pPr>
            <w:pStyle w:val="TOC1"/>
          </w:pPr>
          <w:hyperlink w:anchor="_Toc000000021" w:history="1">
            <w:r>
              <w:rPr>
                <w:rStyle w:val="Hyperlink"/>
                <w:rFonts w:ascii="Dubai" w:hAnsi="Dubai" w:cs="Dubai"/>
                <w:noProof/>
                <w:rtl/>
              </w:rPr>
              <w:t>سابعاً: حالات الاستخدام المدعومة بالذكاء الاصطناعي</w:t>
            </w:r>
            <w:r>
              <w:rPr>
                <w:noProof/>
                <w:webHidden/>
              </w:rPr>
              <w:tab/>
            </w:r>
            <w:r>
              <w:fldChar w:fldCharType="begin"/>
            </w:r>
            <w:r>
              <w:instrText xml:space="preserve"> PAGEREF _Toc000000021 \h </w:instrText>
            </w:r>
            <w:r>
              <w:rPr>
                <w:noProof/>
                <w:webHidden/>
              </w:rPr>
              <w:fldChar w:fldCharType="separate"/>
            </w:r>
            <w:r>
              <w:rPr>
                <w:noProof/>
                <w:webHidden/>
                <w:rtl/>
              </w:rPr>
              <w:t>1</w:t>
            </w:r>
            <w:r>
              <w:rPr>
                <w:noProof/>
                <w:webHidden/>
              </w:rPr>
              <w:fldChar w:fldCharType="end"/>
            </w:r>
          </w:hyperlink>
        </w:p>
        <w:p>
          <w:pPr>
            <w:pStyle w:val="TOC1"/>
          </w:pPr>
          <w:hyperlink w:anchor="_Toc000000022" w:history="1">
            <w:r>
              <w:rPr>
                <w:rStyle w:val="Hyperlink"/>
                <w:rFonts w:ascii="Dubai" w:hAnsi="Dubai" w:cs="Dubai"/>
                <w:noProof/>
                <w:rtl/>
              </w:rPr>
              <w:t>ثامناً: خارطة الطريق التحسينية المقترحة</w:t>
            </w:r>
            <w:r>
              <w:rPr>
                <w:noProof/>
                <w:webHidden/>
              </w:rPr>
              <w:tab/>
            </w:r>
            <w:r>
              <w:fldChar w:fldCharType="begin"/>
            </w:r>
            <w:r>
              <w:instrText xml:space="preserve"> PAGEREF _Toc000000022 \h </w:instrText>
            </w:r>
            <w:r>
              <w:rPr>
                <w:noProof/>
                <w:webHidden/>
              </w:rPr>
              <w:fldChar w:fldCharType="separate"/>
            </w:r>
            <w:r>
              <w:rPr>
                <w:noProof/>
                <w:webHidden/>
                <w:rtl/>
              </w:rPr>
              <w:t>1</w:t>
            </w:r>
            <w:r>
              <w:rPr>
                <w:noProof/>
                <w:webHidden/>
              </w:rPr>
              <w:fldChar w:fldCharType="end"/>
            </w:r>
          </w:hyperlink>
        </w:p>
        <w:p>
          <w:pPr>
            <w:pStyle w:val="TOC1"/>
          </w:pPr>
          <w:hyperlink w:anchor="_Toc000000023" w:history="1">
            <w:r>
              <w:rPr>
                <w:rStyle w:val="Hyperlink"/>
                <w:rFonts w:ascii="Dubai" w:hAnsi="Dubai" w:cs="Dubai"/>
                <w:noProof/>
                <w:rtl/>
              </w:rPr>
              <w:t>تاسعاً: الخلاصة — من البيانات إلى القرار</w:t>
            </w:r>
            <w:r>
              <w:rPr>
                <w:noProof/>
                <w:webHidden/>
              </w:rPr>
              <w:tab/>
            </w:r>
            <w:r>
              <w:fldChar w:fldCharType="begin"/>
            </w:r>
            <w:r>
              <w:instrText xml:space="preserve"> PAGEREF _Toc000000023 \h </w:instrText>
            </w:r>
            <w:r>
              <w:rPr>
                <w:noProof/>
                <w:webHidden/>
              </w:rPr>
              <w:fldChar w:fldCharType="separate"/>
            </w:r>
            <w:r>
              <w:rPr>
                <w:noProof/>
                <w:webHidden/>
                <w:rtl/>
              </w:rPr>
              <w:t>1</w:t>
            </w:r>
            <w:r>
              <w:rPr>
                <w:noProof/>
                <w:webHidden/>
              </w:rPr>
              <w:fldChar w:fldCharType="end"/>
            </w:r>
          </w:hyperlink>
        </w:p>
        <w:p>
          <w:pPr>
            <w:pStyle w:val="TOC2"/>
          </w:pPr>
          <w:hyperlink w:anchor="_Toc000000024" w:history="1">
            <w:r>
              <w:rPr>
                <w:rStyle w:val="Hyperlink"/>
                <w:rFonts w:ascii="Dubai" w:hAnsi="Dubai" w:cs="Dubai"/>
                <w:noProof/>
                <w:rtl/>
              </w:rPr>
              <w:t>المحاور الثلاثة للتحول</w:t>
            </w:r>
            <w:r>
              <w:rPr>
                <w:noProof/>
                <w:webHidden/>
              </w:rPr>
              <w:tab/>
            </w:r>
            <w:r>
              <w:fldChar w:fldCharType="begin"/>
            </w:r>
            <w:r>
              <w:instrText xml:space="preserve"> PAGEREF _Toc000000024 \h </w:instrText>
            </w:r>
            <w:r>
              <w:rPr>
                <w:noProof/>
                <w:webHidden/>
              </w:rPr>
              <w:fldChar w:fldCharType="separate"/>
            </w:r>
            <w:r>
              <w:rPr>
                <w:noProof/>
                <w:webHidden/>
                <w:rtl/>
              </w:rPr>
              <w:t>1</w:t>
            </w:r>
            <w:r>
              <w:rPr>
                <w:noProof/>
                <w:webHidden/>
              </w:rPr>
              <w:fldChar w:fldCharType="end"/>
            </w:r>
          </w:hyperlink>
        </w:p>
        <w:p>
          <w:pPr>
            <w:pStyle w:val="TOC2"/>
          </w:pPr>
          <w:hyperlink w:anchor="_Toc000000025" w:history="1">
            <w:r>
              <w:rPr>
                <w:rStyle w:val="Hyperlink"/>
                <w:rFonts w:ascii="Dubai" w:hAnsi="Dubai" w:cs="Dubai"/>
                <w:noProof/>
                <w:rtl/>
              </w:rPr>
              <w:t>الأثر المجمّع المتوقع:</w:t>
            </w:r>
            <w:r>
              <w:rPr>
                <w:noProof/>
                <w:webHidden/>
              </w:rPr>
              <w:tab/>
            </w:r>
            <w:r>
              <w:fldChar w:fldCharType="begin"/>
            </w:r>
            <w:r>
              <w:instrText xml:space="preserve"> PAGEREF _Toc000000025 \h </w:instrText>
            </w:r>
            <w:r>
              <w:rPr>
                <w:noProof/>
                <w:webHidden/>
              </w:rPr>
              <w:fldChar w:fldCharType="separate"/>
            </w:r>
            <w:r>
              <w:rPr>
                <w:noProof/>
                <w:webHidden/>
                <w:rtl/>
              </w:rPr>
              <w:t>1</w:t>
            </w:r>
            <w:r>
              <w:rPr>
                <w:noProof/>
                <w:webHidden/>
              </w:rPr>
              <w:fldChar w:fldCharType="end"/>
            </w:r>
          </w:hyperlink>
          <w:r>
            <w:fldChar w:fldCharType="end"/>
          </w:r>
        </w:p>
      </w:sdtContent>
    </w:sdt>
    <w:p>
      <w:r>
        <w:br w:type="page"/>
      </w:r>
    </w:p>
    <w:p>
      <w:pPr>
        <w:bidi w:val="1"/>
        <w:pStyle w:val="Heading1"/>
        <w:jc w:val="left"/>
      </w:pPr>
      <w:r>
        <w:rPr>
          <w:rFonts w:ascii="Dubai" w:hAnsi="Dubai" w:eastAsia="Dubai" w:cs="Dubai"/>
          <w:b/>
          <w:color w:val="B68A35"/>
          <w:sz w:val="32"/>
          <w:szCs w:val="32"/>
          <w:rtl/>
        </w:rPr>
        <w:t>أولاً: الملخص التنفيذي — التحليلات الرئيسية</w:t>
      </w:r>
      <w:bookmarkStart w:id="2" w:name="_Toc000000002"/>
      <w:bookmarkEnd w:id="2"/>
    </w:p>
    <w:p>
      <w:pPr>
        <w:bidi w:val="1"/>
        <w:spacing w:after="120"/>
        <w:jc w:val="both"/>
      </w:pPr>
      <w:r>
        <w:rPr>
          <w:rFonts w:ascii="Dubai" w:hAnsi="Dubai" w:eastAsia="Dubai" w:cs="Dubai"/>
          <w:b w:val="0"/>
          <w:i w:val="0"/>
          <w:color w:val="000000"/>
          <w:sz w:val="24"/>
          <w:szCs w:val="24"/>
          <w:u w:val="none"/>
          <w:rtl/>
        </w:rPr>
        <w:t>يُقدّم هذا التقرير تحليلاً معمّقاً لـ 50 حالة مُستخرجة من «تصدير نظام إدارة علاقات العملاء» للفترة الممتدة من يناير إلى ديسمبر 2025، مع مقارنتها بما ورد في «دليل الخدمات والأسئلة الشائعة»، بهدف تحويل البيانات الخام إلى قرارات تشغيلية قابلة للتنفيذ لا مجرد عرض أرقام. المُستجد الجوهري: أن 92.0% من الحالات كانت مُصنَّفة بشكل خاطئ في المصدر الأصلي، وبعد إعادة التصنيف باتت الشكاوى تمثّل 60.0% من إجمالي العبء التشغيلي، مما يكشف عن فجوة هيكلية عميقة كانت مخفيّة خلف بيانات غير دقيقة.</w:t>
      </w:r>
    </w:p>
    <w:p>
      <w:pPr>
        <w:bidi w:val="1"/>
        <w:pStyle w:val="Heading2"/>
        <w:jc w:val="left"/>
      </w:pPr>
      <w:r>
        <w:rPr>
          <w:rFonts w:ascii="Dubai" w:hAnsi="Dubai" w:eastAsia="Dubai" w:cs="Dubai"/>
          <w:b/>
          <w:color w:val="B68A35"/>
          <w:sz w:val="26"/>
          <w:szCs w:val="26"/>
          <w:rtl/>
        </w:rPr>
        <w:t>النتائج الرئيسية</w:t>
      </w:r>
      <w:bookmarkStart w:id="3" w:name="_Toc000000003"/>
      <w:bookmarkEnd w:id="3"/>
    </w:p>
    <w:p>
      <w:pPr>
        <w:bidi w:val="1"/>
        <w:spacing w:after="120"/>
        <w:jc w:val="both"/>
      </w:pPr>
      <w:r>
        <w:rPr>
          <w:rFonts w:ascii="Dubai" w:hAnsi="Dubai" w:eastAsia="Dubai" w:cs="Dubai"/>
          <w:b w:val="0"/>
          <w:i w:val="0"/>
          <w:color w:val="000000"/>
          <w:sz w:val="24"/>
          <w:szCs w:val="24"/>
          <w:u w:val="none"/>
          <w:rtl/>
        </w:rPr>
        <w:t>الرسالة الجوهرية: إن تصنيف 92.0% من الحالات بشكل خاطئ، إلى جانب 8 نقاط احتكاك موثّقة تُغطّيها منظومة الخدمات الراهنة بمعدل لا يتجاوز 24.0% في المتوسط، يكشف عن خلل منهجي في آليات رصد تجربة المتعامل وليس مجرد ثغرات معزولة. معالجة هذا الخلل ستُفضي مباشرةً إلى تحويل 30 حالة شكوى موثّقة إلى فرص تحسين قابلة للقياس، مع الاستثمار في 3 فرص إشعار استباقي كفيلة بخفض تواصل المتعاملين مع الدعم قبل وقوع المشكلة. إن مسار الإصلاح الحقيقي لا ينطلق من رفع معدلات الإغلاق — وهي مرتفعة بالفعل عند 98.0% — بل من بناء منظومة بيانات دقيقة تجعل كل قرار تشغيلي قادماً من أرضية معرفية صلبة.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مستوى الأهمية</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الاكتشاف</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كانت 46 من 50 حالة مُصنَّفة أصلاً بشكل غير صحيح. تمثل هذه الفجوة أساس التحديات التشغيلية المُكتشفة في هذا التحليل.</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تصنيف غير دقيق بنسبة 92.0%</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30 حالة من 50 كانت شكاوى بعد إعادة التصنيف. . هذا التركيز يعكس محور التحسين الأساسي للعمليات.</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الشكاوى تهيمن بـ 60.0% على عبء العمل</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تؤثر هذه النقطة على 9 حالة (18.0% من الإجمالي). السبب الجذري: خلل تقني في المنصة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نقطة احتكاك واحدة: صورة المركبة في إشعار المخالفة تُظهر مركبة مختلفة أو المتعامل لم يكن متواجداً في الفجيرة (9 حالة، 18.0%)</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تشترك نقطتا احتكاك في سبب جذري مشترك: غياب قناة رقمية للاعتراض على المخالفات المرورية يضطر المتعامل للتواصل مع الدعم, عدم تمكّن المتعامل من تحديث بياناته الشخصية ذاتياً عبر التطبيق. إجمالي الحالات المتأثرة: 11 حالة. تحسين هذه المجموعة سيسهم بشكل كبير في تقليل الاحتكاكات.</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نقطتا احتكاك — معلومات موجودة لكنها صعبة الوصول (11 حالة)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4</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إيجابية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تم إغلاق 49 من 50 حالة في الوقت المحدد (معدل 98.0%). هذا يثبت القدرة التشغيلية، لكنه لا يعالج الفجوات الهيكلية في الدقة والفهم.</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98.0% إغلاق في الوقت المحدد</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5</w:t>
            </w:r>
          </w:p>
        </w:tc>
      </w:tr>
    </w:tbl>
    <w:p/>
    <w:p>
      <w:pPr>
        <w:bidi w:val="1"/>
        <w:pStyle w:val="Heading1"/>
        <w:jc w:val="left"/>
      </w:pPr>
      <w:r>
        <w:rPr>
          <w:rFonts w:ascii="Dubai" w:hAnsi="Dubai" w:eastAsia="Dubai" w:cs="Dubai"/>
          <w:b/>
          <w:color w:val="B68A35"/>
          <w:sz w:val="32"/>
          <w:szCs w:val="32"/>
          <w:rtl/>
        </w:rPr>
        <w:t>ثانياً: المنهجية وطبيعة المصادر</w:t>
      </w:r>
      <w:bookmarkStart w:id="4" w:name="_Toc000000004"/>
      <w:bookmarkEnd w:id="4"/>
    </w:p>
    <w:p>
      <w:pPr>
        <w:bidi w:val="1"/>
        <w:pStyle w:val="Heading2"/>
        <w:jc w:val="left"/>
      </w:pPr>
      <w:r>
        <w:rPr>
          <w:rFonts w:ascii="Dubai" w:hAnsi="Dubai" w:eastAsia="Dubai" w:cs="Dubai"/>
          <w:b/>
          <w:color w:val="B68A35"/>
          <w:sz w:val="26"/>
          <w:szCs w:val="26"/>
          <w:rtl/>
        </w:rPr>
        <w:t>2.1  المصادر المُحلَّلة</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الفترة</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الحجم</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الطبيعة</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المصدر</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يناير - ديسمبر 2025</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49 حالة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بيانات CRM — نصوص غير مهيكلة (تفاصيل الحالة، الحلول، أسماء الخدمات، وصف الحالة)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تحليل الاستفسارات</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2025</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160 صفحة، 8 أسئلة مصدقة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يغطي خدمات المرور والترخيص, الخدمات الشرطية, خدمات المؤسسة العقابية والإصلاحية, إدارة العمليات, الخدمات الاستباقية, and 2 more، مع التحقق من الأسئلة الشائعة وتحليل الفجوات</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دليل خدمات العملاء</w:t>
            </w:r>
          </w:p>
        </w:tc>
      </w:tr>
    </w:tbl>
    <w:p/>
    <w:p>
      <w:pPr>
        <w:bidi w:val="1"/>
        <w:pStyle w:val="Heading2"/>
        <w:jc w:val="left"/>
      </w:pPr>
      <w:r>
        <w:rPr>
          <w:rFonts w:ascii="Dubai" w:hAnsi="Dubai" w:eastAsia="Dubai" w:cs="Dubai"/>
          <w:b/>
          <w:color w:val="B68A35"/>
          <w:sz w:val="26"/>
          <w:szCs w:val="26"/>
          <w:rtl/>
        </w:rPr>
        <w:t>2.2  منهجية التصنيف</w:t>
      </w:r>
      <w:bookmarkStart w:id="6" w:name="_Toc000000006"/>
      <w:bookmarkEnd w:id="6"/>
    </w:p>
    <w:p>
      <w:pPr>
        <w:bidi w:val="1"/>
        <w:spacing w:after="120"/>
        <w:jc w:val="both"/>
      </w:pPr>
      <w:r>
        <w:rPr>
          <w:rFonts w:ascii="Dubai" w:hAnsi="Dubai" w:eastAsia="Dubai" w:cs="Dubai"/>
          <w:b w:val="0"/>
          <w:i w:val="0"/>
          <w:color w:val="000000"/>
          <w:sz w:val="24"/>
          <w:szCs w:val="24"/>
          <w:u w:val="none"/>
          <w:rtl/>
        </w:rPr>
        <w:t>يعتمد التحليل على شجرة قرار من أربعة مستويات، حيث طبيعة المطلوب وليس الصياغة هي المعيار الفاصل. يُطرح على كل حالة اختباران متتاليان:</w:t>
      </w:r>
    </w:p>
    <w:p>
      <w:pPr>
        <w:bidi w:val="1"/>
        <w:spacing w:after="120"/>
        <w:jc w:val="both"/>
      </w:pPr>
      <w:r>
        <w:rPr>
          <w:rFonts w:ascii="Dubai" w:hAnsi="Dubai" w:eastAsia="Dubai" w:cs="Dubai"/>
          <w:b w:val="0"/>
          <w:i w:val="0"/>
          <w:color w:val="000000"/>
          <w:sz w:val="24"/>
          <w:szCs w:val="24"/>
          <w:u w:val="none"/>
          <w:rtl/>
        </w:rPr>
        <w:t>(1) الاختبار الأول: هل يُعبّر النص عن استياء، أو إبلاغ عن إخفاق، أو رغبة في تقديم بلاغ رسمي أو اعتراض؟</w:t>
      </w:r>
    </w:p>
    <w:p>
      <w:pPr>
        <w:bidi w:val="1"/>
        <w:spacing w:after="120"/>
        <w:jc w:val="both"/>
      </w:pPr>
      <w:r>
        <w:rPr>
          <w:rFonts w:ascii="Dubai" w:hAnsi="Dubai" w:eastAsia="Dubai" w:cs="Dubai"/>
          <w:b w:val="0"/>
          <w:i w:val="0"/>
          <w:color w:val="000000"/>
          <w:sz w:val="24"/>
          <w:szCs w:val="24"/>
          <w:u w:val="none"/>
          <w:rtl/>
        </w:rPr>
        <w:t>(2) الاختبار الثاني: هل يطلب النص تنفيذ إجراء محدد كتقديم خدمة أو متابعة طلب أو تعديل بيانات، وليس مجرد الحصول على معلومة؟</w:t>
      </w:r>
    </w:p>
    <w:p>
      <w:pPr>
        <w:bidi w:val="1"/>
        <w:spacing w:after="120"/>
        <w:jc w:val="both"/>
      </w:pPr>
      <w:r>
        <w:rPr>
          <w:rFonts w:ascii="Dubai" w:hAnsi="Dubai" w:eastAsia="Dubai" w:cs="Dubai"/>
          <w:b w:val="0"/>
          <w:i w:val="0"/>
          <w:color w:val="000000"/>
          <w:sz w:val="24"/>
          <w:szCs w:val="24"/>
          <w:u w:val="none"/>
          <w:rtl/>
        </w:rPr>
        <w:t>قواعد التصنيف:</w:t>
      </w:r>
    </w:p>
    <w:p>
      <w:pPr>
        <w:bidi w:val="1"/>
        <w:spacing w:after="120"/>
        <w:jc w:val="both"/>
      </w:pPr>
      <w:r>
        <w:rPr>
          <w:rFonts w:ascii="Dubai" w:hAnsi="Dubai" w:eastAsia="Dubai" w:cs="Dubai"/>
          <w:b w:val="0"/>
          <w:i w:val="0"/>
          <w:color w:val="000000"/>
          <w:sz w:val="24"/>
          <w:szCs w:val="24"/>
          <w:u w:val="none"/>
          <w:rtl/>
        </w:rPr>
        <w:t>→ إن كان الجواب نعم على الأول: شكوى (حتى لو تضمّن النص طلباً لاتخاذ إجراء)؛</w:t>
      </w:r>
    </w:p>
    <w:p>
      <w:pPr>
        <w:bidi w:val="1"/>
        <w:spacing w:after="120"/>
        <w:jc w:val="both"/>
      </w:pPr>
      <w:r>
        <w:rPr>
          <w:rFonts w:ascii="Dubai" w:hAnsi="Dubai" w:eastAsia="Dubai" w:cs="Dubai"/>
          <w:b w:val="0"/>
          <w:i w:val="0"/>
          <w:color w:val="000000"/>
          <w:sz w:val="24"/>
          <w:szCs w:val="24"/>
          <w:u w:val="none"/>
          <w:rtl/>
        </w:rPr>
        <w:t>→ إن كان الجواب نعم على الثاني فقط: طلب (دون أن يكون الغرض إبلاغاً عن مشكلة)؛</w:t>
      </w:r>
    </w:p>
    <w:p>
      <w:pPr>
        <w:bidi w:val="1"/>
        <w:spacing w:after="120"/>
        <w:jc w:val="both"/>
      </w:pPr>
      <w:r>
        <w:rPr>
          <w:rFonts w:ascii="Dubai" w:hAnsi="Dubai" w:eastAsia="Dubai" w:cs="Dubai"/>
          <w:b w:val="0"/>
          <w:i w:val="0"/>
          <w:color w:val="000000"/>
          <w:sz w:val="24"/>
          <w:szCs w:val="24"/>
          <w:u w:val="none"/>
          <w:rtl/>
        </w:rPr>
        <w:t>→ إن كان الغرض سؤالاً أو استعلاماً عن معلومة: استفسار؛</w:t>
      </w:r>
    </w:p>
    <w:p>
      <w:pPr>
        <w:bidi w:val="1"/>
        <w:spacing w:after="120"/>
        <w:jc w:val="both"/>
      </w:pPr>
      <w:r>
        <w:rPr>
          <w:rFonts w:ascii="Dubai" w:hAnsi="Dubai" w:eastAsia="Dubai" w:cs="Dubai"/>
          <w:b w:val="0"/>
          <w:i w:val="0"/>
          <w:color w:val="000000"/>
          <w:sz w:val="24"/>
          <w:szCs w:val="24"/>
          <w:u w:val="none"/>
          <w:rtl/>
        </w:rPr>
        <w:t>→ إن كان التعبير عن رضا وثناء: شكر وثناء.</w:t>
      </w:r>
    </w:p>
    <w:p>
      <w:pPr>
        <w:bidi w:val="1"/>
        <w:pStyle w:val="Heading2"/>
        <w:jc w:val="left"/>
      </w:pPr>
      <w:r>
        <w:rPr>
          <w:rFonts w:ascii="Dubai" w:hAnsi="Dubai" w:eastAsia="Dubai" w:cs="Dubai"/>
          <w:b/>
          <w:color w:val="B68A35"/>
          <w:sz w:val="26"/>
          <w:szCs w:val="26"/>
          <w:rtl/>
        </w:rPr>
        <w:t>2.3  الحقول المُحلَّلة</w:t>
      </w:r>
      <w:bookmarkStart w:id="7" w:name="_Toc000000007"/>
      <w:bookmarkEnd w:id="7"/>
    </w:p>
    <w:p>
      <w:pPr>
        <w:bidi w:val="1"/>
        <w:spacing w:after="120"/>
        <w:jc w:val="both"/>
      </w:pPr>
      <w:r>
        <w:rPr>
          <w:rFonts w:ascii="Dubai" w:hAnsi="Dubai" w:eastAsia="Dubai" w:cs="Dubai"/>
          <w:b w:val="0"/>
          <w:i w:val="0"/>
          <w:color w:val="000000"/>
          <w:sz w:val="24"/>
          <w:szCs w:val="24"/>
          <w:u w:val="none"/>
          <w:rtl/>
        </w:rPr>
        <w:t>الحقول المنظمة المستخدمة في التحليل: رقم الطلب، الخدمة الرئيسية، نوع المكالمة الأصلي، حالة الطلب، قناة التواصل، والإدارة المختصة. الحقول غير المنظمة — محور هذا التحليل: تفاصيل الطلب ورد المعالجة. هذان الحقلان يكشفان الطبيعة الحقيقية لكل حالة بعيداً عن التصنيف الشكلي في النظام.</w:t>
      </w:r>
    </w:p>
    <w:p>
      <w:pPr>
        <w:bidi w:val="1"/>
        <w:pStyle w:val="Heading1"/>
        <w:jc w:val="left"/>
      </w:pPr>
      <w:r>
        <w:rPr>
          <w:rFonts w:ascii="Dubai" w:hAnsi="Dubai" w:eastAsia="Dubai" w:cs="Dubai"/>
          <w:b/>
          <w:color w:val="B68A35"/>
          <w:sz w:val="32"/>
          <w:szCs w:val="32"/>
          <w:rtl/>
        </w:rPr>
        <w:t>ثالثاً: التحليل الأول — خريطة تصنيف الطلبات</w:t>
      </w:r>
      <w:bookmarkStart w:id="8" w:name="_Toc000000008"/>
      <w:bookmarkEnd w:id="8"/>
    </w:p>
    <w:p>
      <w:pPr>
        <w:bidi w:val="1"/>
        <w:pStyle w:val="Heading2"/>
        <w:jc w:val="left"/>
      </w:pPr>
      <w:r>
        <w:rPr>
          <w:rFonts w:ascii="Dubai" w:hAnsi="Dubai" w:eastAsia="Dubai" w:cs="Dubai"/>
          <w:b/>
          <w:color w:val="B68A35"/>
          <w:sz w:val="26"/>
          <w:szCs w:val="26"/>
          <w:rtl/>
        </w:rPr>
        <w:t>3.1  التوزيع الفعلي لأنواع التواصل</w:t>
      </w:r>
      <w:bookmarkStart w:id="9" w:name="_Toc000000009"/>
      <w:bookmarkEnd w:id="9"/>
    </w:p>
    <w:p>
      <w:pPr>
        <w:bidi w:val="1"/>
        <w:spacing w:after="120"/>
        <w:jc w:val="both"/>
      </w:pPr>
      <w:r>
        <w:rPr>
          <w:rFonts w:ascii="Dubai" w:hAnsi="Dubai" w:eastAsia="Dubai" w:cs="Dubai"/>
          <w:b w:val="0"/>
          <w:i w:val="0"/>
          <w:color w:val="000000"/>
          <w:sz w:val="24"/>
          <w:szCs w:val="24"/>
          <w:u w:val="none"/>
          <w:rtl/>
        </w:rPr>
        <w:t>تحليل 50 حالة في يناير - ديسمبر 2025 كشف أن التصنيف الدقيق للمحتوى الفعلي لكل تواصل يُفضي إلى صورة مغايرة تمامًا لما تعكسه بيانات نظام إدارة علاقات المتعاملين الأصلية. وقد أظهر التحليل المعمّق أن توزيع أنواع التواصل يختلف اختلافًا جذريًا عن التصنيف الافتراضي المسجَّل في النظام. التحوّل الجوهري: تُمثّل الشكاوى النوع الأعلى حضورًا بواقع 30 حالة تشكّل 60.0% من إجمالي التواصل، في مقابل تصنيف أصلي كان يُدرج جميع الحالات الخمسين ضمن الاستفسارات قبل إعادة التدقيق.</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قابلية التحويل الرقمي</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تغيُّر التصنيف</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العدد</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نوع التواصل</w:t>
            </w:r>
          </w:p>
        </w:tc>
      </w:tr>
      <w:tr>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مسار رقمي مختص — بوابة شكاوى / تتبع بلاغ في التطبيق</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+30 (كانت صفراً في الملف الأصلي)</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60.0%</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30</w:t>
            </w:r>
          </w:p>
        </w:tc>
        <w:tc>
          <w:tcPr>
            <w:tcW w:type="dxa" w:w="1872"/>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w:t>
            </w:r>
          </w:p>
        </w:tc>
      </w:tr>
      <w:tr>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يتطلب موظفاً بصلاحية النظام</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+16 (كانت صفراً في الملف الأصلي)</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32.0%</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16</w:t>
            </w:r>
          </w:p>
        </w:tc>
        <w:tc>
          <w:tcPr>
            <w:tcW w:type="dxa" w:w="1872"/>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طلب</w:t>
            </w:r>
          </w:p>
        </w:tc>
      </w:tr>
      <w:tr>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تحويل كامل — روبوت محادثة / أسئلة شائعة / IVR / الموقع الإلكتروني</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−46 عن الأصلي</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8.0%</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1872"/>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استفسار</w:t>
            </w:r>
          </w:p>
        </w:tc>
      </w:tr>
      <w:tr>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توثيق تلقائي — لا يتطلب إجراءً</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بلا تغيير</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0.0%</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0</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شكر وثناء</w:t>
            </w:r>
          </w:p>
        </w:tc>
      </w:tr>
    </w:tbl>
    <w:p/>
    <w:p>
      <w:pPr>
        <w:jc w:val="center"/>
      </w:pPr>
      <w:r>
        <w:drawing>
          <wp:inline distT="0" distB="0" distL="0" distR="0">
            <wp:extent cx="5040000" cy="3240000"/>
            <wp:effectExtent l="0" t="0" r="0" b="0"/>
            <wp:docPr id="102" name="Chart 1" descr="Chart 1"/>
            <wp:cNvGraphicFramePr>
              <a:graphicFrameLocks noChangeAspect="1"/>
            </wp:cNvGraphicFramePr>
            <a:graphic>
              <a:graphicData uri="http://schemas.openxmlformats.org/drawingml/2006/chart">
                <c:chart r:id="rId12"/>
              </a:graphicData>
            </a:graphic>
          </wp:inline>
        </w:drawing>
      </w:r>
    </w:p>
    <w:p/>
    <w:p>
      <w:pPr>
        <w:bidi w:val="1"/>
        <w:pStyle w:val="Heading2"/>
        <w:jc w:val="left"/>
      </w:pPr>
      <w:r>
        <w:rPr>
          <w:rFonts w:ascii="Dubai" w:hAnsi="Dubai" w:eastAsia="Dubai" w:cs="Dubai"/>
          <w:b/>
          <w:color w:val="B68A35"/>
          <w:sz w:val="26"/>
          <w:szCs w:val="26"/>
          <w:rtl/>
        </w:rPr>
        <w:t>3.2  دقة التصنيف — 92.0% من الحالات تم إعادة تصنيفها</w:t>
      </w:r>
      <w:bookmarkStart w:id="10" w:name="_Toc000000010"/>
      <w:bookmarkEnd w:id="10"/>
    </w:p>
    <w:p>
      <w:pPr>
        <w:bidi w:val="1"/>
        <w:spacing w:after="120"/>
        <w:jc w:val="both"/>
      </w:pPr>
      <w:r>
        <w:rPr>
          <w:rFonts w:ascii="Dubai" w:hAnsi="Dubai" w:eastAsia="Dubai" w:cs="Dubai"/>
          <w:b w:val="0"/>
          <w:i w:val="0"/>
          <w:color w:val="000000"/>
          <w:sz w:val="24"/>
          <w:szCs w:val="24"/>
          <w:u w:val="none"/>
          <w:rtl/>
        </w:rPr>
        <w:t>الاكتشاف الحرج: جميع الحالات الخمسين (50 من 50) كانت مُسجَّلة في نظام إدارة علاقات المتعاملين تحت مسمّى «استفسار»، غير أن إعادة التحليل بالاستناد إلى المحتوى الفعلي لكل تواصل أسفرت عن إعادة تصنيف 46 حالة بنسبة بلغت 92.0%. لا يعني ذلك وجود خطأ بشري في الإدخال، إذ يعكس التصنيف الأصلي قناة الاستقبال أو النية الظاهرة للمتعامل لحظة تقديم الطلب لا طبيعة مضمونه الحقيقية. القائمة الكاملة لـ 46 حالة مع الأدلة متاحة في الملحق الرقمي (ملف Excel المرفق).</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الدليل من تفاصيل الطلب</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التصنيف الصحيح</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مسجَّلة كـ</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رقم الطلب</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"السلام عليكم تم تقديم بلغ بتاريخ 23 / 10 / 2025 ورقم البلغ 2228 عن تعرضي للضرب في مدرسة الديار  في مركز المدينة في الفجيرة والي يومك لم يتم علينا بحجت ان المدرسة لم تراد عليهم ولم يتم الانتهاء من البلغ وتحويله الي النيابه لتكملة البلغ"</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شكوى — تقديم بلاغ أمني أو مروري</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2025287730</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"لم استلم ملكيه السياره والمشكله رقم الهاتف الخاص بي محدث ولا يتم التواصل مع رقم تلفوني ويتم التواصل برقم آخر رقم اخوي ولم استلم الملكيه السياره"</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210724</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"لم استلام الرخصه  حته هذا الوقت لقد تقدمت بشكىوه في السابق وتحدث معي احد الظباط من الفجيره وتكلام معي حول ان رقم المعامله الذي اتخالته لا ينطبق مع الرقم الشخصي وعند عدم الوصل لك. قم بريد الامارات  برجع الرخصه الي قسم المروره في الفجيره وتم تحديث البيانات وتحدث معي  احد من بريد الامارات وقالي اي غدا  مع العلم ان اخر مكلمه مع مندوب بريد الامارات كانت من اكثر 10ايام وحولت الاتصال بي خدمت العمله وتحدث معي ظبط شرطه  مرتين ولكن لمشكله لم تحل الي هذا الوقت تحدث مع بريد الامارات وقلي لي لايكمن البحث  عن الطرد خصتك لا يمكن البحث عن هذا الرقم ويرسدو رقم الشحن لا تتبع الشحن"</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شكوى — شكوى عن عدم استلام الخدمة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211093</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"سلام عليكم :ملتزم بقواعد السير والمرور تم تحرير مخالفة لي ب 14/1/25 عدم الالتزام بقواعد السير في منطقة ثوبان الصناعية وملتزمين في هذا الأمر يوجد مسارين مسار للشاحنات ومسار للسيارات الصغيرة في دوار ثوبان وانت تعلم أن الدوار له أكثر من شعبة وشكرا. إضافة إلى ذلك كنت مشغل ضوء الإشارة المتجه إلى اليسار"</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شكوى — اعتراض على مخالفة مرورية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212027</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"تم تجرير مخالفة سرعة في مدينة الفجيرة يوم ١/١/٢٠٢٥ مع العلم لم أكون متواجد في الفجيرة هذا اليوم وايضاً صورة المخالفة برقم لوحة سيارة غير لوحة سيارتي</w:t>
              <w:br/>
              <w:t>رقم المخالفة: 6250003094</w:t>
              <w:br/>
              <w:t>رقم لوحة سيارتي التي ١١/٧٢٧٣٩</w:t>
              <w:br/>
              <w:t>مرفق صورة الرادار"</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شكوى — شكوى عن مخالفة مشكوك فيها</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استفسار</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212803</w:t>
            </w:r>
          </w:p>
        </w:tc>
      </w:tr>
    </w:tbl>
    <w:p/>
    <w:p>
      <w:pPr>
        <w:bidi w:val="1"/>
        <w:pStyle w:val="Heading2"/>
        <w:jc w:val="left"/>
      </w:pPr>
      <w:r>
        <w:rPr>
          <w:rFonts w:ascii="Dubai" w:hAnsi="Dubai" w:eastAsia="Dubai" w:cs="Dubai"/>
          <w:b/>
          <w:color w:val="B68A35"/>
          <w:sz w:val="26"/>
          <w:szCs w:val="26"/>
          <w:rtl/>
        </w:rPr>
        <w:t>3.3  تفصيل الشكاوى (30 حالة — 60.0%)</w:t>
      </w:r>
      <w:bookmarkStart w:id="11" w:name="_Toc000000011"/>
      <w:bookmarkEnd w:id="11"/>
    </w:p>
    <w:p>
      <w:pPr>
        <w:bidi w:val="1"/>
        <w:spacing w:after="120"/>
        <w:jc w:val="both"/>
      </w:pPr>
      <w:r>
        <w:rPr>
          <w:rFonts w:ascii="Dubai" w:hAnsi="Dubai" w:eastAsia="Dubai" w:cs="Dubai"/>
          <w:b w:val="0"/>
          <w:i w:val="0"/>
          <w:color w:val="000000"/>
          <w:sz w:val="24"/>
          <w:szCs w:val="24"/>
          <w:u w:val="none"/>
          <w:rtl/>
        </w:rPr>
        <w:t>تُمثّل الشكاوى الفئة المهيمنة الخفيّة التي كشف عنها التحليل الدقيق، وتتمحور بصورة واضحة حول منظومة المرور والترخيص إذ تستحوذ المخالفات المرورية والبلاغات الأمنية وتعثّر استلام الوثائق على الحصة الكبرى منها:</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النسبة من الشكاوى</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رُصدت بحقهم مخالفات مرورية يؤكدون خطأها، سواء لعدم تواجدهم في الإمارة وقت الرصد أو لاختلاف رقم لوحة المركبة في صورة المخالفة عن مركبتهم الفعلية.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36.7%</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عن مخالفة مشكوك فيها</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تقدّموا ببلاغات أمنية أو مرورية رسمية لشرطة الفجيرة، ويتابعون وضع بلاغاتهم بعد مرور وقت دون استيفاء الإجراءات أو التحويل للجهات المختصة.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20.0%</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تقديم بلاغ أمني أو مروري</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يعترضون رسميًا على مخالفات مرورية محرَّرة بحقهم، مستندين إلى أدلة تثبت التزامهم بقواعد السير أو وجود ملابسات تنفي صحة المخالفة.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16.7%</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5</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اعتراض على مخالفة مرورية</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أتمّوا إجراءات استخراج وثائق رسمية كملكية المركبة أو رخصة القيادة ولم يستلموها حتى تاريخ التواصل رغم انقضاء المدة المتوقعة وتعدد محاولات المتابعة.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13.3%</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عن عدم استلام الخدمة</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واجهوا أخطاءً في البيانات المسجَّلة بالأنظمة الإلكترونية، كتسجيل رقم هاتف مغلوط أدى إلى إعاقة التواصل واستلام الخدمة.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6.7%</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على خطأ تقني أو في النظام</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 تجاوز طلبه أو بلاغه المدة الزمنية المعقولة للمعالجة دون إنجاز أو تحديث، فتواصل مستفسرًا عن سبب التأخر ومطالبًا بإغلاق المعاملة.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3.3%</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شكوى على تأخر المعالجة</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 تواصل مع الجهة المختصة في وقت سابق ولم يتلقَّ أي رد أو إفادة بشأن طلبه، فأعاد التواصل مطالبًا بالاستجابة وإيضاح الموقف من معاملته.</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3.3%</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شكوى على عدم الرد</w:t>
            </w:r>
          </w:p>
        </w:tc>
      </w:tr>
    </w:tbl>
    <w:p/>
    <w:p>
      <w:pPr>
        <w:bidi w:val="1"/>
        <w:pStyle w:val="Heading2"/>
        <w:jc w:val="left"/>
      </w:pPr>
      <w:r>
        <w:rPr>
          <w:rFonts w:ascii="Dubai" w:hAnsi="Dubai" w:eastAsia="Dubai" w:cs="Dubai"/>
          <w:b/>
          <w:color w:val="B68A35"/>
          <w:sz w:val="26"/>
          <w:szCs w:val="26"/>
          <w:rtl/>
        </w:rPr>
        <w:t>3.4  تفصيل الطلبات والاستفسارات</w:t>
      </w:r>
      <w:bookmarkStart w:id="12" w:name="_Toc000000012"/>
      <w:bookmarkEnd w:id="12"/>
    </w:p>
    <w:p>
      <w:pPr>
        <w:bidi w:val="1"/>
        <w:spacing w:after="120"/>
        <w:jc w:val="both"/>
      </w:pPr>
      <w:r>
        <w:rPr>
          <w:rFonts w:ascii="Dubai" w:hAnsi="Dubai" w:eastAsia="Dubai" w:cs="Dubai"/>
          <w:b w:val="0"/>
          <w:i w:val="0"/>
          <w:color w:val="000000"/>
          <w:sz w:val="24"/>
          <w:szCs w:val="24"/>
          <w:u w:val="none"/>
          <w:rtl/>
        </w:rPr>
        <w:t>أبرز الطلبات المقدَّمة (16 حالات — 32.0%):</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طلبوا تصحيح بيانات شخصية أو مركباتية مسجَّلة بصورة خاطئة في الأنظمة، كتحديث أرقام الهواتف أو تصويب معلومات الملكية لاستئناف تلقّي الخدمات.</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37.5%</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طلب تعديل أو تحديث بيانات</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تقدّموا بطلبات رسمية في وقت سابق وتواصلوا لمعرفة آخر مستجدات معاملاتهم والتحقق من بلوغها المرحلة التالية أو اكتمال إجراءاتها.</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25.0%</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متابعة طلب مقدم</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تقدّموا بطلبات للحصول على تصاريح حمل أسلحة أو تراخيص ذات صلة، واستدعت معاملاتهم تدخّل موظف مختص للتحقق من استيفاء الاشتراطات.</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12.5%</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طلب تصريح سلاح أو ترخيص</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تواصلوا لطلب خدمات شرطية أو إدارية متنوعة لا تندرج ضمن الفئات المحددة، وتطلّبت تنسيقًا مع الجهة المختصة لتحديد مسار تقديم الخدمة.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12.5%</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طلب خدمة عام</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 تواصل لإتمام إجراءات تجديد رخصة قيادة أو وثيقة ملكية مركبة، وكان بحاجة إلى مساعدة موظف للتحقق من الاشتراطات وإتمام المعاملة.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6.2%</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طلب تجديد رخصة أو ملكية</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 تقدّم بطلب تصريح لغرض محدد ذي طابع استثنائي، واستلزم طلبه مراجعة الجهة المختصة للبتّ فيه وفق الصلاحيات المخوّلة.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طلب تصريح خاص</w:t>
            </w:r>
          </w:p>
        </w:tc>
      </w:tr>
    </w:tbl>
    <w:p/>
    <w:p>
      <w:pPr>
        <w:bidi w:val="1"/>
        <w:pStyle w:val="Heading2"/>
        <w:jc w:val="left"/>
      </w:pPr>
      <w:r>
        <w:rPr>
          <w:rFonts w:ascii="Dubai" w:hAnsi="Dubai" w:eastAsia="Dubai" w:cs="Dubai"/>
          <w:b/>
          <w:color w:val="B68A35"/>
          <w:sz w:val="26"/>
          <w:szCs w:val="26"/>
          <w:rtl/>
        </w:rPr>
        <w:t>3.5  أبرز الاستفسارات المتكررة (4 حالات — 8.0%) — وهي الفئة الأكثر قابليةً للتحويل إلى خدمة ذاتية رقمية كاملة</w:t>
      </w:r>
      <w:bookmarkStart w:id="13" w:name="_Toc000000013"/>
      <w:bookmarkEnd w:id="13"/>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الوصف</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النسبة</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العدد</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الفئة الفرعية</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استفسروا عن إجراءات أو متطلبات تتعلق برخص القيادة أو تسجيل المركبات، وكانت أسئلتهم إيضاحية لا تستدعي تدخّلًا تشغيليًا من موظف.</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50.0%</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استفسار عن الرخص والمركبات</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متعاملون تواصلوا للاستفسار عن معلومات عامة تخص خدمات شرطة الفجيرة أو آليات التواصل، وأسئلتهم قابلة للإجابة الفورية عبر القنوات الرقمية الذاتية.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50.0%</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استفسار عام</w:t>
            </w:r>
          </w:p>
        </w:tc>
      </w:tr>
    </w:tbl>
    <w:p/>
    <w:p>
      <w:pPr>
        <w:bidi w:val="1"/>
        <w:pStyle w:val="Heading1"/>
        <w:jc w:val="left"/>
      </w:pPr>
      <w:r>
        <w:rPr>
          <w:rFonts w:ascii="Dubai" w:hAnsi="Dubai" w:eastAsia="Dubai" w:cs="Dubai"/>
          <w:b/>
          <w:color w:val="B68A35"/>
          <w:sz w:val="32"/>
          <w:szCs w:val="32"/>
          <w:rtl/>
        </w:rPr>
        <w:t>رابعاً: التحليل الثاني — التحديات في رحلة المتعامل</w:t>
      </w:r>
      <w:bookmarkStart w:id="14" w:name="_Toc000000014"/>
      <w:bookmarkEnd w:id="14"/>
    </w:p>
    <w:p>
      <w:pPr>
        <w:bidi w:val="1"/>
        <w:spacing w:after="120"/>
        <w:jc w:val="both"/>
      </w:pPr>
      <w:r>
        <w:rPr>
          <w:rFonts w:ascii="Dubai" w:hAnsi="Dubai" w:eastAsia="Dubai" w:cs="Dubai"/>
          <w:b w:val="0"/>
          <w:i w:val="0"/>
          <w:color w:val="000000"/>
          <w:sz w:val="24"/>
          <w:szCs w:val="24"/>
          <w:u w:val="none"/>
          <w:rtl/>
        </w:rPr>
        <w:t>يكشف التحليل المعمّق للبيانات النصية غير المهيكلة عن 8 نقاط احتكاك رئيسية في رحلة المتعامل، كل منها ينتج عن سبب جذري محدد قابل للمعالجة: النقطة الأكثر حدة هي صورة المركبة في إشعار المخالفة تُظهر مركبة مختلفة أو المتعامل لم يكن متواجداً في الفجيرة التي تؤثر على 9 حالة (18.0% من الإجمالي). وتبرز فرصة تحسين سريعة تتمثل في تفعيل إشعار تتبع التوصيل عبر SMS فور طباعة وثيقة ملكية المركبة أو رخصة القيادة وإرسالها، مما يُعالج 4 حالات (8.0% من الإجمالي) بتدخل تقني محدود وأثر فوري على تجربة المتعامل:</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الإجراء التحسيني</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نقطة الاحتكاك</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مراجعة منظومة مطابقة لوحات الرادار وإصلاح الخلل، وتوفير قناة رقمية للاعتراض مع إرفاق الأدلة، وإضافة دليل استرداد المخالفات المدفوعة خطأً.</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9</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صورة المركبة في إشعار المخالفة تُظهر مركبة مختلفة أو المتعامل لم يكن متواجداً في الفجيرة</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نشر دليل مصور خطوة بخطوة لتحديث البيانات الشخصية ذاتياً في تطبيق MOI، والتحقيق في العوائق التقنية وإصلاحها فوراً.</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معلومات موجودة لكنها صعبة الوصول</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عدم تمكّن المتعامل من تحديث بياناته الشخصية ذاتياً عبر التطبيق</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تطوير مسار اعتراض رقمي متكامل عبر تطبيق MOI والموقع الإلكتروني يُتيح تقديم الاعتراض بالوثائق دون الحضور الشخصي على مدار الساعة.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معلومات موجودة لكنها صعبة الوصول</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5</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غياب قناة رقمية للاعتراض على المخالفات المرورية يضطر المتعامل للتواصل مع الدعم</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تفعيل إشعار SMS تلقائي يتضمن رابط تتبع بريد الإمارات فور طباعة بطاقة الملكية أو الرخصة، مع إضافة شاشة تتبع ذاتية في تطبيق MOI.</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عدم إرسال رابط تتبع توصيل ملكية المركبة أو الرخصة بعد الطباعة</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تفعيل إشعارات دفع وSMS تلقائية عند كل مرحلة معالجة، وإضافة شاشة «طلباتي» في تطبيق MOI لمتابعة الحالة الفورية مع تحديد مدد الخدمة المستهدفة.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عدم وضوح حالة الطلب المقدم — لا يصل إشعار تلقائي بتحديث الحالة</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إنشاء نموذج إلكتروني لاسترداد الرسوم المزدوجة عبر تطبيق MOI، وتطبيق منطق التراجع التلقائي عن المعاملات الفاشلة أو المكررة، وتوفير صفحة حالة النظام اللحظية.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خلل تقني في المنصة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خصم رسوم مزدوجة أو تعذّر التسجيل رغم استيفاء الشروط بسبب خلل في النظام</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إضافة بطاقة خدمة كاملة لترخيص الأسلحة في الدليل مع تفعيل إشعارات SMS تلقائية عند كل مرحلة، وتعيين رقم مرجعي وموظف حالة مخصص لكل طلب.</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بقاء طلب ترخيص السلاح معلقاً دون إشعار بالحالة أو الجهة المختصة</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إنشاء دليل مصور بلقطات شاشة لمسار اختيار نوع اللوحة، وإضافة تلميح سياقي داخل التطبيق وتأكيد استباقي يعرض نوع اللوحة المختارة قبل الخصم.</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معلومات مفقودة من الدليل</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عدم وضوح خطوات اختيار نوع اللوحة والدفع في تطبيق MOI يؤدي لإجراءات خاطئة</w:t>
            </w:r>
          </w:p>
        </w:tc>
      </w:tr>
    </w:tbl>
    <w:p/>
    <w:p>
      <w:pPr>
        <w:bidi w:val="1"/>
        <w:pStyle w:val="Heading1"/>
        <w:jc w:val="left"/>
      </w:pPr>
      <w:r>
        <w:rPr>
          <w:rFonts w:ascii="Dubai" w:hAnsi="Dubai" w:eastAsia="Dubai" w:cs="Dubai"/>
          <w:b/>
          <w:color w:val="B68A35"/>
          <w:sz w:val="32"/>
          <w:szCs w:val="32"/>
          <w:rtl/>
        </w:rPr>
        <w:t>خامساً: التحليل الثالث — تحليل الفجوات الرقمية</w:t>
      </w:r>
      <w:bookmarkStart w:id="15" w:name="_Toc000000015"/>
      <w:bookmarkEnd w:id="15"/>
    </w:p>
    <w:p>
      <w:pPr>
        <w:bidi w:val="1"/>
        <w:spacing w:after="120"/>
        <w:jc w:val="both"/>
      </w:pPr>
      <w:r>
        <w:rPr>
          <w:rFonts w:ascii="Dubai" w:hAnsi="Dubai" w:eastAsia="Dubai" w:cs="Dubai"/>
          <w:b w:val="0"/>
          <w:i w:val="0"/>
          <w:color w:val="000000"/>
          <w:sz w:val="24"/>
          <w:szCs w:val="24"/>
          <w:u w:val="none"/>
          <w:rtl/>
        </w:rPr>
        <w:t>لماذا تستمر المشكلات رغم توفر التطبيق والموقع الإلكتروني؟ على الرغم من أن 94.0% من الحالات قُدِّمت عبر القنوات الرقمية (تطبيق/موقع)، وأن 100.0% من الحالات نشأت في سياق رقمي (التطبيق / الموقع)، فإن المشكلة ليست غياب القنوات الرقمية، بل غياب الوظائف الصحيحة داخل تلك القنوات؛ إذ رُصدت 5 فجوات حرجة و3 فجوات عالية الشدة، أبرزها فجوة «مخالفة مرورية خاطئة — صورة المركبة في إشعار المخالفة تُظهر مركبة مختلفة أو المتعامل لم يكن متواجداً في الفجيرة» بـ 11 حالة، فضلاً عن إمكانية تحويل 10 حالة (20.0% من الإجمالي) عبر إشعار SMS/بريد إلكتروني استباقي دون أي تغيير في البنية التحتية.</w:t>
      </w:r>
    </w:p>
    <w:p>
      <w:pPr>
        <w:bidi w:val="1"/>
        <w:pStyle w:val="Heading2"/>
        <w:jc w:val="left"/>
      </w:pPr>
      <w:r>
        <w:rPr>
          <w:rFonts w:ascii="Dubai" w:hAnsi="Dubai" w:eastAsia="Dubai" w:cs="Dubai"/>
          <w:b/>
          <w:color w:val="B68A35"/>
          <w:sz w:val="26"/>
          <w:szCs w:val="26"/>
          <w:rtl/>
        </w:rPr>
        <w:t>5.1  جدول الفجوات المُدمج</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نوع الفجوة</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وضع التطبيق / الموقع الحالي</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الشدّة</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الحالات</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الموضوع</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أضف قناة رقمية للاعتراض مع إرفاق الأدلة، وأصلح نظام مطابقة لوحات الرادار، وأدرج دليلاً خطوة بخطوة في الأسئلة الشائعة.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محتوى مفقود + قناة تقديم حضورية فقط</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تتوفر خدمة الاعتراض على الضبط المروري لكنها تقتصر على مراكز الخدمة الحضورية فقط، ولا توجد قناة رقمية لتقديم الاعتراض مع إرفاق الأدلة، كما يغيب أي دليل إرشادي حول حالة اختلاف صورة المركبة.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11</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مخالفة مرورية خاطئة — صورة المركبة في إشعار المخالفة تُظهر مركبة مختلفة أو المتعامل لم يكن متواجداً في الفجيرة</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انشر دليلاً مصوراً خطوة بخطوة لتحديث البيانات الشخصية في تطبيق MOI، وميّز بوضوح بين مسارات تحديث رخصة القيادة والملكية والحساب الشخصي.</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معلومات غير واضحة + عملية غير مفهومة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يتيح تطبيق MOI تغيير بيانات رخصة القيادة وبطاقة الملكية إلكترونياً، غير أن تحديث البيانات الشخصية كرقم الهاتف والعنوان ذاتياً يفتقر إلى دليل مصور واضح، مما يُربك المتعامل.</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تحديث بيانات المتعاملين — عدم تمكّن المتعامل من تحديث بياناته الشخصية ذاتياً عبر التطبيق</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طوّر مسار اعتراض رقمي عبر تطبيق MOI والموقع الإلكتروني يُمكّن المتعامل من تقديم اعتراضه بالوثائق دون حضور شخصي على مدار الساعة.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قناة تقديم غير متاحة رقمياً</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خدمة الاعتراض على الضبط المروري متاحة في مراكز الخدمة فقط بساعات عمل محدودة (07:30–15:30)، ولا يوجد مسار رقمي عبر التطبيق أو الموقع لتقديم الاعتراض بالوثائق.</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5</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اعتراض على مخالفة مرورية — غياب قناة رقمية للاعتراض على المخالفات المرورية يضطر المتعامل للتواصل مع الدعم</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يتضمن رابط تتبع فور طباعة الوثيقة، وأنشئ شاشة تتبع ذاتية في تطبيق MOI مع قسم إرشادي مخصص.</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غياب الإشعار الاستباقي</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لا يتضمن الدليل الإرشادي أي نص حول إرسال رابط تتبع التوصيل لملكية المركبة أو الرخصة بعد الطباعة، ولا توجد شاشة تتبع ذاتية في تطبيق MOI.</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عدم استلام وثائق رسمية — عدم إرسال رابط تتبع توصيل ملكية المركبة أو الرخصة بعد الطباعة</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تفعيل إشعارات تلقائية (SMS/دفع) عند كل مرحلة معالجة، وأضف شاشة «طلباتي» في تطبيق MOI لمتابعة الحالة الفورية.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غياب الإشعار الاستباقي بتحديث الحالة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لا يوجد في الدليل الإرشادي أي آلية لإشعار المتعامل بتحديث حالة طلبه، كما تفتقر منصة MOI إلى شاشة مركزية لمتابعة مراحل معالجة الطلبات.</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حرجة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متابعة طلبات مقدمة — عدم وضوح حالة الطلب المقدم — لا يصل إشعار تلقائي بتحديث الحالة</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أضف قسماً في الدليل لحالات الخصم المزدوج مع مسار تصعيد واضح، وأنشئ نموذجاً إلكترونياً لاسترداد الرسوم، وطبّق آلية تراجع تلقائي عن المعاملات الفاشلة.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محتوى مفقود + خلل في المنصة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تتوفر خدمة استرجاع قيمة المخالفات المرورية لكنها مقتصرة على المخالفات دون رسوم التسجيل، ولا يوجد قسم في الدليل يتناول إجراءات استرداد الرسوم المزدوجة أو خلل النظام.</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أعطال تقنية في منظومة الدفع والتسجيل — خصم رسوم مزدوجة أو تعذّر التسجيل رغم استيفاء الشروط بسبب خلل في النظام</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تفعيل إشعار SMS/بريد تلقائي عند كل مرحلة من مراحل طلب ترخيص السلاح، وأضف بطاقة خدمة كاملة في الدليل تشمل الوثائق والجهة المختصة والمدة الزمنية.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محتوى مفقود + غياب الإشعار الاستباقي</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لا يوجد أي ذكر لخدمة ترخيص الأسلحة في الدليل الإرشادي، ولا تتوفر بطاقة خدمة أو مسار رقمي لمتابعة الطلب أو التواصل مع الجهة المختصة.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طلبات تراخيص الأسلحة المعلقة — بقاء طلب ترخيص السلاح معلقاً دون إشعار بالحالة أو الجهة المختصة</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أنشئ دليلاً مصوراً خطوة بخطوة لمسار تسجيل المركبة واختيار اللوحة في تطبيق MOI، وأضف تلميحاً سياقياً عند خطوة الاختيار وتأكيداً استباقياً قبل الدفع.</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معلومات ناقصة + عملية غير واضحة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يتضمن الدليل جدول رسوم اللوحات دون لقطات شاشة أو دليل مصور، وتفتقر خطوات التطبيق إلى تلميحات سياقية توضح الفرق بين أنواع اللوحات ورسومها عند الاختيار.</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عالية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أخطاء في إجراءات الدفع وتسجيل المركبات — عدم وضوح خطوات اختيار نوع اللوحة والدفع في تطبيق MOI يؤدي لإجراءات خاطئة</w:t>
            </w:r>
          </w:p>
        </w:tc>
      </w:tr>
    </w:tbl>
    <w:p/>
    <w:p>
      <w:pPr>
        <w:bidi w:val="1"/>
        <w:pStyle w:val="Heading2"/>
        <w:jc w:val="left"/>
      </w:pPr>
      <w:r>
        <w:rPr>
          <w:rFonts w:ascii="Dubai" w:hAnsi="Dubai" w:eastAsia="Dubai" w:cs="Dubai"/>
          <w:b/>
          <w:color w:val="B68A35"/>
          <w:sz w:val="26"/>
          <w:szCs w:val="26"/>
          <w:rtl/>
        </w:rPr>
        <w:t>5.2  الأسباب الجذرية لاستمرار المشكلات</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الحل</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مثال على التحدي</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السبب الجذري</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أنشئ نموذج إبلاغ رقمي موحداً لأخطاء المخالفات مع مسار تصعيد واضح وإصلاح نظام مطابقة لوحات الرادار.</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11 حالة — صورة المركبة في إشعار المخالفة تُظهر مركبة مختلفة أو المتعامل لم يكن متواجداً في الفجيرة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غياب آلية إبلاغ تقني منظمة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انشر أدلة مصورة خطوة بخطوة داخل تطبيق MOI لكل مسار خدمة رقمي مع أسئلة شائعة محدّثة.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11 حالة — عدم تمكّن المتعامل من تحديث بياناته الشخصية ذاتياً عبر التطبيق</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ضعف التوعية بالقنوات الرقمية المتاحة</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فعّل إشعارات SMS/بريد تلقائية عند كل مرحلة معالجة طلب وأضف شاشة متابعة مركزية في التطبيق.</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10 حالة — عدم وضوح حالة الطلب المقدم — لا يصل إشعار تلقائي بتحديث الحالة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ضعف الإشعار الاستباقي</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طوّر مسارات رقمية مخصصة مع تلميحات سياقية وتأكيد استباقي لكل خطوة دفع وتسجيل.</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 حالة — عدم وضوح خطوات اختيار نوع اللوحة والدفع في تطبيق MOI يؤدي لإجراءات خاطئة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غياب مسار رقمي مخصص</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r>
    </w:tbl>
    <w:p/>
    <w:p>
      <w:pPr>
        <w:bidi w:val="1"/>
        <w:pStyle w:val="Heading1"/>
        <w:jc w:val="left"/>
      </w:pPr>
      <w:r>
        <w:rPr>
          <w:rFonts w:ascii="Dubai" w:hAnsi="Dubai" w:eastAsia="Dubai" w:cs="Dubai"/>
          <w:b/>
          <w:color w:val="B68A35"/>
          <w:sz w:val="32"/>
          <w:szCs w:val="32"/>
          <w:rtl/>
        </w:rPr>
        <w:t>سادساً: التحليل الرابع — خطة التحويل الرقمي</w:t>
      </w:r>
      <w:bookmarkStart w:id="18" w:name="_Toc000000018"/>
      <w:bookmarkEnd w:id="18"/>
    </w:p>
    <w:p>
      <w:pPr>
        <w:bidi w:val="1"/>
        <w:spacing w:after="120"/>
        <w:jc w:val="both"/>
      </w:pPr>
      <w:r>
        <w:rPr>
          <w:rFonts w:ascii="Dubai" w:hAnsi="Dubai" w:eastAsia="Dubai" w:cs="Dubai"/>
          <w:b w:val="0"/>
          <w:i w:val="0"/>
          <w:color w:val="000000"/>
          <w:sz w:val="24"/>
          <w:szCs w:val="24"/>
          <w:u w:val="none"/>
          <w:rtl/>
        </w:rPr>
        <w:t>يستعرض هذا القسم خطة التحويل الرقمي المبنية على سبعة أسئلة شائعة ذات أولوية، مستخرجة من الأنماط الأكثر تكراراً في البيانات النصية للفترة من يناير إلى ديسمبر 2025، إلى جانب مسار إشعارات استباقية مقترح. تُظهر البيانات أن ما يزيد على 10 حالات تمثّل 20.0% من إجمالي الحالات البالغة 50 حالة يمكن إلغاؤها بالكامل من خلال منظومة إشعارات تلقائية بسيطة دون الحاجة إلى أي تغيير هيكلي.</w:t>
      </w:r>
    </w:p>
    <w:p>
      <w:pPr>
        <w:bidi w:val="1"/>
        <w:pStyle w:val="Heading2"/>
        <w:jc w:val="left"/>
      </w:pPr>
      <w:r>
        <w:rPr>
          <w:rFonts w:ascii="Dubai" w:hAnsi="Dubai" w:eastAsia="Dubai" w:cs="Dubai"/>
          <w:b/>
          <w:color w:val="B68A35"/>
          <w:sz w:val="26"/>
          <w:szCs w:val="26"/>
          <w:rtl/>
        </w:rPr>
        <w:t>6.1  الأسئلة الشائعة ذات الأولوية</w:t>
      </w:r>
      <w:bookmarkStart w:id="19" w:name="_Toc000000019"/>
      <w:bookmarkEnd w:id="19"/>
    </w:p>
    <w:p>
      <w:pPr>
        <w:bidi w:val="1"/>
        <w:spacing w:after="120"/>
        <w:jc w:val="both"/>
      </w:pPr>
      <w:r>
        <w:rPr>
          <w:rFonts w:ascii="Dubai" w:hAnsi="Dubai" w:eastAsia="Dubai" w:cs="Dubai"/>
          <w:b w:val="0"/>
          <w:i w:val="0"/>
          <w:color w:val="000000"/>
          <w:sz w:val="24"/>
          <w:szCs w:val="24"/>
          <w:u w:val="none"/>
          <w:rtl/>
        </w:rPr>
        <w:t>هذه الأسئلة مستخرجة من الأنماط الأكثر تكراراً في البيانات النصية.</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التكرار</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الإجابة المقترحة</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السؤال</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9</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افتح تطبيق MOI واختر خدمة الاستعلام عن المخالفات المرورية وأدخل رقم لوحة مركبتك. إذا لم تظهر المخالفة في النظام أو كانت صورة المركبة في الإشعار لا تطابق مركبتك، تواصل مع شرطة الفجيرة مباشرةً لإجراء التدقيق وتصحيح السجل.</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كيف أتحقق من أن المخالفة المرورية الواردة إليّ مسجّلة فعلاً على مركبتي في الفجيرة؟</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1</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لتحديث بيانات الهوية: افتح تطبيق MOI وانتقل إلى إدارة الحساب الشخصي. لتحديث رقم الهاتف في نظام المرور: راجع مركز الخدمة المختص نظراً لاشتراط تدخل الموظف. في حال وجود خطأ في الاسم بالإنجليزية، تواصل أولاً مع الإدارة العامة للجنسية والهوية لتصحيحه.</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كيف أحدّث رقم هاتفي وبياناتي الشخصية وبيانات مركبتي في نظام المرور؟</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2</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5</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حالياً لا تتوفر خدمة الاعتراض الرقمي الكامل؛ يُرجى مراجعة إدارة المرور في شرطة الفجيرة أو مركز مسافي الشامل شخصياً مع إحضار وثائق الملكية وبطاقة الهوية. إذا ثبتت صحة المخالفة وأردت طلب تخفيض الغرامة، قدّم طلباً رسمياً خطياً إلى الإدارة.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هل يمكنني الاعتراض على مخالفة مرورية عبر الإنترنت دون الحضور الشخصي؟</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3</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تحقق أولاً من صحة عنوان التوصيل ورقم هاتفك المسجّل عبر تطبيق MOI، إذ قد يتوقف التوصيل بسبب عدم تحديث الصورة الشخصية. إذا كانت البيانات صحيحة ولم تصلك الوثيقة، تواصل مع شرطة الفجيرة مع ذكر رقم المعاملة لطلب إعادة الطباعة والتوصيل عبر بريد الإمارات.</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أتممت الدفع لكنني لم أستلم ملكية مركبتي أو رخصة قيادتي — ماذا أفعل؟</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4</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افتح تطبيق MOI واختر «طلباتي» للاطلاع على آخر تحديث لحالة طلبك. إذا لم تتغير الحالة لفترة طويلة، تواصل مع شرطة الفجيرة مع ذكر رقم المعاملة للتحقق من وجود متطلبات معلقة مثل تحديث الصورة الشخصية أو مستندات ناقصة.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كيف أتابع حالة طلب تجديد رخصة القيادة أو ملكية المركبة الذي قدّمته؟</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5</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طلبات تراخيص الأسلحة تُحال إلى مديرية الأسلحة والمتفجرات بوزارة الداخلية وهي الجهة المختصة وحدها بالبت فيها. تواصل مع شرطة الفجيرة مع ذكر رقم طلبك وتاريخ تقديمه لطلب التنسيق مع الجهة المعنية ومتابعة حالة طلبك رسمياً.</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تقدّمت بطلب ترخيص سلاح منذ فترة طويلة وما زال معلقاً — ما الإجراء المتّبع؟</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6</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وفق الإجراء المعمول به، يتحمّل المتعامل مسؤولية الاختيار الخاطئ لأن تطبيق MOI يوضح أنواع اللوحات وخطوات الاختيار والدفع قبل التأكيد النهائي. يُنصح بمراجعة مركز الخدمة للاستفسار عن إمكانية استرداد المبلغ وفق صلاحية الموظف المختص.</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دفعت رسوم اختيار نوع لوحة مركبة بشكل خاطئ — هل يُسترد المبلغ؟</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7</w:t>
            </w:r>
          </w:p>
        </w:tc>
      </w:tr>
    </w:tbl>
    <w:p/>
    <w:p>
      <w:pPr>
        <w:bidi w:val="1"/>
        <w:pStyle w:val="Heading2"/>
        <w:jc w:val="left"/>
      </w:pPr>
      <w:r>
        <w:rPr>
          <w:rFonts w:ascii="Dubai" w:hAnsi="Dubai" w:eastAsia="Dubai" w:cs="Dubai"/>
          <w:b/>
          <w:color w:val="B68A35"/>
          <w:sz w:val="26"/>
          <w:szCs w:val="26"/>
          <w:rtl/>
        </w:rPr>
        <w:t>6.2  مسار إلغاء 10+ حالة تواصل بالإشعار الاستباقي</w:t>
      </w:r>
      <w:bookmarkStart w:id="20" w:name="_Toc000000020"/>
      <w:bookmarkEnd w:id="20"/>
    </w:p>
    <w:p>
      <w:pPr>
        <w:bidi w:val="1"/>
        <w:spacing w:after="120"/>
        <w:jc w:val="both"/>
      </w:pPr>
      <w:r>
        <w:rPr>
          <w:rFonts w:ascii="Dubai" w:hAnsi="Dubai" w:eastAsia="Dubai" w:cs="Dubai"/>
          <w:b w:val="0"/>
          <w:i w:val="0"/>
          <w:color w:val="000000"/>
          <w:sz w:val="24"/>
          <w:szCs w:val="24"/>
          <w:u w:val="none"/>
          <w:rtl/>
        </w:rPr>
        <w:t>تحليل البيانات يكشف أن 10+ حالة تواصل (20% من الإجمالي) كان يمكن إلغاؤها كلياً بمنظومة إشعارات بسيطة — دون أي تغيير هيكلي في الأنظمة أو الإجراءات:</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القناة</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محتوى الإشعار (مثال)</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الحالات المُلغاة</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نوع الإشعار</w:t>
            </w:r>
          </w:p>
        </w:tc>
      </w:tr>
      <w:tr>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إلغاء 4 حالات استفسار عن التوصيل وتقليص الاتصالات المتعلقة بها بصورة كاملة.</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SMS</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«شرطة الفجيرة: تمت طباعة وثيقتك [X] وهي في طريقها إليك عبر بريد الإمارات. تتبّع شحنتك برقم: [X]. للاستفسار اتصل على [X].»</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 حالات</w:t>
            </w:r>
          </w:p>
        </w:tc>
        <w:tc>
          <w:tcPr>
            <w:tcW w:type="dxa" w:w="1872"/>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إشعار تتبع التوصيل</w:t>
            </w:r>
          </w:p>
        </w:tc>
      </w:tr>
      <w:tr>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إلغاء 4 حالات استفسار عن حالة الطلب وتحسين تجربة المتعامل دون تدخل بشري.</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SMS</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«شرطة الفجيرة: طلبك رقم [X] انتقل إلى مرحلة [X]. يمكنك متابعة تفاصيل طلبك عبر تطبيق MOI في قسم «طلباتي».»</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 حالات</w:t>
            </w:r>
          </w:p>
        </w:tc>
        <w:tc>
          <w:tcPr>
            <w:tcW w:type="dxa" w:w="1872"/>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إشعار تحديث حالة الطلب</w:t>
            </w:r>
          </w:p>
        </w:tc>
      </w:tr>
      <w:tr>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إلغاء حالتَي استفسار عن ترخيص السلاح وخفض الضغط على موظفي خدمة المتعاملين.</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SMS</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«شرطة الفجيرة: تم استلام طلب ترخيص السلاح رقم [X] وهو قيد المراجعة لدى وزارة الداخلية. سيُبلَّغ بنتيجة طلبك فور صدورها.»</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 حالات</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إشعار حالة ترخيص السلاح</w:t>
            </w:r>
          </w:p>
        </w:tc>
      </w:tr>
    </w:tbl>
    <w:p/>
    <w:p>
      <w:pPr>
        <w:bidi w:val="1"/>
        <w:pStyle w:val="Heading1"/>
        <w:jc w:val="left"/>
      </w:pPr>
      <w:r>
        <w:rPr>
          <w:rFonts w:ascii="Dubai" w:hAnsi="Dubai" w:eastAsia="Dubai" w:cs="Dubai"/>
          <w:b/>
          <w:color w:val="B68A35"/>
          <w:sz w:val="32"/>
          <w:szCs w:val="32"/>
          <w:rtl/>
        </w:rPr>
        <w:t>سابعاً: حالات الاستخدام المدعومة بالذكاء الاصطناعي</w:t>
      </w:r>
      <w:bookmarkStart w:id="21" w:name="_Toc000000021"/>
      <w:bookmarkEnd w:id="21"/>
    </w:p>
    <w:p>
      <w:pPr>
        <w:bidi w:val="1"/>
        <w:spacing w:after="120"/>
        <w:jc w:val="both"/>
      </w:pPr>
      <w:r>
        <w:rPr>
          <w:rFonts w:ascii="Dubai" w:hAnsi="Dubai" w:eastAsia="Dubai" w:cs="Dubai"/>
          <w:b w:val="0"/>
          <w:i w:val="0"/>
          <w:color w:val="000000"/>
          <w:sz w:val="24"/>
          <w:szCs w:val="24"/>
          <w:u w:val="none"/>
          <w:rtl/>
        </w:rPr>
        <w:t>تتكامل الفرص المرصودة في يناير - ديسمبر 2025 مع قدرات الذكاء الاصطناعي لتشكيل منظومة خدمة ذاتية ذكية قادرة على معالجة ما يزيد على 92.0% من حجم التواصل الحالي دون تدخل بشري في مرحلة التصنيف. واستناداً إلى مجموع الـ 50 حالة المرصودة خلال الفترة ذاتها، تُقدَّم أربعة أدوات ذكاء اصطناعي متكاملة تعالج نقاط الاحتكاك الجوهرية عند مصادرها قبل وصولها إلى قنوات الشكاوى.</w:t>
      </w:r>
    </w:p>
    <w:p>
      <w:pPr>
        <w:bidi w:val="1"/>
        <w:spacing w:after="120"/>
        <w:jc w:val="both"/>
      </w:pPr>
      <w:r>
        <w:rPr>
          <w:rFonts w:ascii="Dubai" w:hAnsi="Dubai" w:eastAsia="Dubai" w:cs="Dubai"/>
          <w:b w:val="0"/>
          <w:i w:val="0"/>
          <w:color w:val="000000"/>
          <w:sz w:val="24"/>
          <w:szCs w:val="24"/>
          <w:u w:val="none"/>
          <w:rtl/>
        </w:rPr>
        <w:t>ملاحظة محورية: بيانات التدريب جاهزة الآن — إذ يتوفر مجموع 50 حالة مُصنَّفة ومُوسومة يدوياً تغطي الفترة من يناير حتى ديسمبر 2025، وهو ما يُتيح الشروع فوراً في تدريب نموذج المصنِّف الآلي دون الحاجة إلى أي جمع إضافي للبيانات.</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تقييم التنفيذ</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الأثر المتوقع على بيانات يناير - ديسمبر 2025</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الوظيفة</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الأداة</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مرتفع — 9+ أشهر (يتطلب الوصول لتغذية لحظية من كاميرات المخالفات)</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يُفعَّل النظام لحظة التقاط صورة المخالفة، إذ يستخدم نموذج رؤية حاسوبية (Computer Vision) لمطابقة لون المركبة وطرازها الظاهر في الصورة مع بيانات المركبة المسجلة رسمياً في قاعدة البيانات. يرصد النظام أي تناقض بين لوحة الأرقام المُصوَّرة وسجل المركبة الفعلي، ويُصدر تنبيهاً فورياً للجهة المختصة لمراجعة المخالفة قبل إرسالها للمتعامل.</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نظام التحقق البصري من صور المخالفات المرورية</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متوسط — 3-4 أشهر (يتطلب خريطة صلاحيات موثقة لكل الجهات)</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عند تسجيل أي حالة جديدة في CRM، يُحلل النموذج نص الطلب باستخدام تصنيف نصي مدعوم بقاعدة بيانات صلاحيات الجهات، ليحدد تلقائياً الجهة المعنية الصحيحة — سواء أكانت شرطة الفجيرة أم RTA أم البلدية أم غيرها. يُصدر النظام توجيهاً فورياً للمتعامل عبر القناة المناسبة، مما يُلغي الحاجة إلى إعادة التوجيه اليدوي ويُقلص حلقات التنقل بين الجهات.</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موجّه الحالات الذكي بين الجهات الحكومية</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متوسط — 3-4 أشهر (نموذج OCR ومعايير التحقق من الوثائق متاحة تجارياً)</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يعمل النظام في مرحلة رفع الوثائق قبل إتمام تقديم الطلب، مستخدماً تقنيات OCR وفحص جودة الصورة للتحقق من وضوح الصورة الشخصية وصلاحية شهادة الفحص واكتمال الحقول الإلزامية وتطابق رقم الهوية. عند رصد أي نقص أو تعارض، يُرشد النظام المتعامل فوراً إلى التصحيح المطلوب قبل إرسال الطلب، مما يحول دون تسجيل الحالة في CRM ابتداءً.</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مدقق جودة الوثائق واكتمال الطلبات آلياً</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منخفض–متوسط — 2-3 أشهر (بيانات الموقع مستخرجة من نصوص CRM الموجودة)</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يستخرج النظام تلقائياً الكيانات الجغرافية من نصوص الشكاوى والمقترحات المخزنة في CRM باستخدام تقنية NER، ثم يرسم خريطة حرارية تُظهر توزيع الحالات حسب الموقع الجغرافي المُشار إليه. يُحدد النظام المناطق ذات الكثافة غير المتناسبة والتقاطعات المتكررة، ويُنتج تقارير مرئية داعمة لاتخاذ قرارات أولويات البنية التحتية وتخصيص الدوريات.</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بالخريطة الحرارية</w:t>
            </w:r>
          </w:p>
        </w:tc>
      </w:tr>
    </w:tbl>
    <w:p/>
    <w:p>
      <w:pPr>
        <w:bidi w:val="1"/>
        <w:pStyle w:val="Heading1"/>
        <w:jc w:val="left"/>
      </w:pPr>
      <w:r>
        <w:rPr>
          <w:rFonts w:ascii="Dubai" w:hAnsi="Dubai" w:eastAsia="Dubai" w:cs="Dubai"/>
          <w:b/>
          <w:color w:val="B68A35"/>
          <w:sz w:val="32"/>
          <w:szCs w:val="32"/>
          <w:rtl/>
        </w:rPr>
        <w:t>ثامناً: خارطة الطريق التحسينية المقترحة</w:t>
      </w:r>
      <w:bookmarkStart w:id="22" w:name="_Toc000000022"/>
      <w:bookmarkEnd w:id="22"/>
    </w:p>
    <w:p>
      <w:pPr>
        <w:bidi w:val="1"/>
        <w:spacing w:after="120"/>
        <w:jc w:val="both"/>
      </w:pPr>
      <w:r>
        <w:rPr>
          <w:rFonts w:ascii="Dubai" w:hAnsi="Dubai" w:eastAsia="Dubai" w:cs="Dubai"/>
          <w:b w:val="0"/>
          <w:i w:val="0"/>
          <w:color w:val="000000"/>
          <w:sz w:val="24"/>
          <w:szCs w:val="24"/>
          <w:u w:val="none"/>
          <w:rtl/>
        </w:rPr>
        <w:t>تجمع هذه الخارطة توصيات التحليلات الأربعة في منظومة أولويات متدرجة مستندةً إلى بيانات يناير - ديسمبر 2025 البالغة 50 حالة، بهدف تحويل النتائج إلى إجراءات تشغيلية قابلة للقياس. جميع البنود الثمانية مستخرجة من التحليل الفعلي للحالات دون اللجوء إلى توصيات عامة، ومرتبة تنازلياً وفق معياري الأثر المتوقع وسهولة التنفيذ.</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الجهد</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الأثر المتوقع</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المصدر</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التوصية</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الأفق الزمني</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إلغاء 4+ حالة استفسار عن موقع الوثيقة المطبوعة قبل وصولها للمستفيد.</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تفعيل رسالة SMS تلقائية تحتوي رابط تتبع بريد الإمارات تُرسَل فور طباعة ملكية المركبة أو رخصة القيادة وتسليمها لمنظومة التوصيل.</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1</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إلغاء 4+ حالة ناتجة عن غياب التحديث التلقائي لحالة الطلب.</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ربط نظام CRM بمنصة SMS لإرسال إشعار تلقائي عند كل تغيير في حالة طلب التجديد أو التسجيل، مع الإشارة الصريحة إلى أي متطلب معلق كتحديث الصورة الشخصية.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2</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معالجة 4+ حالة مرتبطة بعدم استلام الوثائق الرسمية وغياب رابط التتبع بعد الطباعة.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تفعيل إشعار SMS وبريد إلكتروني برابط تتبع فور الطباعة، وإضافة قسم «ماذا يحدث بعد طباعة وثيقتك؟» في تطبيق MOI مع شاشة تتبع ذاتية وسؤال شائع مخصص.</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3</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معالجة 4+ حالة ناجمة عن غموض حالة الطلب المقدم وانعدام الإشعار التلقائي.</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إطلاق إشعارات دفع وSMS عند كل مرحلة معالجة (مستلم ← قيد المراجعة ← موافق/مرفوض ← جاهز)، وإضافة شاشة «طلباتي» في تطبيق MOI مع توثيق مدد SLA لكل نوع طلب.</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4</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تقليص 4+ حالة تواصل مرتبطة بغياب رابط تتبع التوصيل في مرحلة ما بعد الطباعة.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معالجة نقطة الإخفاق في رحلة المستفيد بإضافة خطوة إشعار مخصصة في البوابة الإلكترونية تُطلَق تلقائياً عند إرسال ملكية المركبة أو الرخصة للتوصيل بعد الطباعة.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5</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تقليص 4+ حالة ناتجة عن عدم وضوح حالة الطلب المقدم وغياب الإشعار التلقائي.</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التحليل</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سد الفجوة في رحلة متابعة الطلبات بتصميم تدفق إشعار واضح داخل تطبيق MOI يعكس الحالة الآنية للطلب، مع نشر دليل مرئي مختصر يوضح مراحل المعالجة للمستفيد.</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6</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فوري</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منخفض</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تحويل المقترحات الجغرافية العشوائية إلى قرارات استثمار مبنية على كثافة الحالات الفعلية.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بناء لوحة خريطة حرارية تجمع بيانات الحالات الجغرافية من CRM لتحديد مناطق الاحتكاك المتكررة، وتحويل مخرجاتها إلى تقرير ربعي يدعم قرارات الاستثمار في البنية التحتية.</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7</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 قصير المدى</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متوسط</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قطع دورة التوجيه الخاطئ بين الجهات وتقليص وقت الحل عبر الإحالة الآنية للجهة المختصة.</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كلا المصدرَين</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تطوير محرك توجيه ذكي مدمج في بوابة الاستفسارات يصنّف الحالة تلقائياً ويحيلها للجهة الحكومية المختصة (شرطة الفجيرة أو RTA أو غيرها) دون تدخل بشري في مرحلة الفرز.</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8</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 متوسط المدى</w:t>
            </w:r>
          </w:p>
        </w:tc>
      </w:tr>
    </w:tbl>
    <w:p/>
    <w:p>
      <w:pPr>
        <w:bidi w:val="1"/>
        <w:pStyle w:val="Heading1"/>
        <w:jc w:val="left"/>
      </w:pPr>
      <w:r>
        <w:rPr>
          <w:rFonts w:ascii="Dubai" w:hAnsi="Dubai" w:eastAsia="Dubai" w:cs="Dubai"/>
          <w:b/>
          <w:color w:val="B68A35"/>
          <w:sz w:val="32"/>
          <w:szCs w:val="32"/>
          <w:rtl/>
        </w:rPr>
        <w:t>تاسعاً: الخلاصة — من البيانات إلى القرار</w:t>
      </w:r>
      <w:bookmarkStart w:id="23" w:name="_Toc000000023"/>
      <w:bookmarkEnd w:id="23"/>
    </w:p>
    <w:p>
      <w:pPr>
        <w:bidi w:val="1"/>
        <w:spacing w:after="120"/>
        <w:jc w:val="both"/>
      </w:pPr>
      <w:r>
        <w:rPr>
          <w:rFonts w:ascii="Dubai" w:hAnsi="Dubai" w:eastAsia="Dubai" w:cs="Dubai"/>
          <w:b w:val="0"/>
          <w:i w:val="0"/>
          <w:color w:val="000000"/>
          <w:sz w:val="24"/>
          <w:szCs w:val="24"/>
          <w:u w:val="none"/>
          <w:rtl/>
        </w:rPr>
        <w:t>الرسالة النهائية: إن وصول 94.0% من الحالات عبر القنوات الرقمية (التطبيق والموقع الإلكتروني) مقروناً بمعدل الالتزام بمستوى الخدمة البالغ 98.0% يُثبت تحقق التميز التشغيلي في قناة التقديم، بينما تكشف نسبة 100.0% من حالات الاحتكاك المرتبطة بسياق الخدمة الرقمية — سواء أعطال التطبيق أو تجديد الترخيص إلكترونياً أو الدفع الرقمي — أن الفجوة ليست في وصول المتعامل بل في وظائف الخدمة ذاتها. إن إعادة تصنيف 46 حالة بنسبة 92.0% دليل قاطع على أن المشكلة الجوهرية تكمن في غياب وظائف الخدمة لا في نقص قنوات التواصل، ويتجلى ذلك بوضوح في احتلال «مخالفة مرورية خاطئة» الصدارة بـ 9 حالات من إجمالي الحالات المُحللة. تُثبت التحليلات الواردة في هذا التقرير أن المسار الصحيح نحو الحل يقوم على ثلاثة ركائز: سد الفجوات الوظيفية الحرجة البالغة 5 فجوات، وتفعيل منظومة الإشعار الاستباقي القادرة على إلغاء أكثر من 10 حالات دون أي تدخل بشري، وتصحيح جودة البيانات التشغيلية، لا على توسيع الموارد.</w:t>
      </w:r>
    </w:p>
    <w:p>
      <w:pPr>
        <w:bidi w:val="1"/>
        <w:pStyle w:val="Heading2"/>
        <w:jc w:val="left"/>
      </w:pPr>
      <w:r>
        <w:rPr>
          <w:rFonts w:ascii="Dubai" w:hAnsi="Dubai" w:eastAsia="Dubai" w:cs="Dubai"/>
          <w:b/>
          <w:color w:val="B68A35"/>
          <w:sz w:val="26"/>
          <w:szCs w:val="26"/>
          <w:rtl/>
        </w:rPr>
        <w:t>المحاور الثلاثة للتحول</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المحور الثالث: الذكاء</w:t>
            </w:r>
          </w:p>
        </w:tc>
        <w:tc>
          <w:tcPr>
            <w:tcW w:type="dxa" w:w="312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المحور الثاني: الإتاحة</w:t>
            </w:r>
          </w:p>
        </w:tc>
        <w:tc>
          <w:tcPr>
            <w:tcW w:type="dxa" w:w="312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المحور الأول: الدقة</w:t>
            </w:r>
          </w:p>
        </w:tc>
      </w:tr>
      <w:tr>
        <w:tc>
          <w:tcPr>
            <w:tcW w:type="dxa" w:w="312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نظام التحقق البصري من صور المخالفات المرورية</w:t>
            </w:r>
          </w:p>
        </w:tc>
        <w:tc>
          <w:tcPr>
            <w:tcW w:type="dxa" w:w="312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أسئلة شائعة موحدة وشاملة</w:t>
            </w:r>
          </w:p>
        </w:tc>
        <w:tc>
          <w:tcPr>
            <w:tcW w:type="dxa" w:w="312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رفع دقة تصنيفات الطلبات</w:t>
            </w:r>
          </w:p>
        </w:tc>
      </w:tr>
      <w:tr>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موجّه الحالات الذكي بين الجهات الحكومية</w:t>
            </w:r>
          </w:p>
        </w:tc>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إشعار تتبع التوصيل</w:t>
            </w:r>
          </w:p>
        </w:tc>
        <w:tc>
          <w:tcPr>
            <w:tcW w:type="dxa" w:w="312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إضافة حقلي السبب الجذري وزمن المعالجة في حل الطلب</w:t>
            </w:r>
          </w:p>
        </w:tc>
      </w:tr>
      <w:tr>
        <w:tc>
          <w:tcPr>
            <w:tcW w:type="dxa" w:w="312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مدقق جودة الوثائق واكتمال الطلبات آلياً</w:t>
            </w:r>
          </w:p>
        </w:tc>
        <w:tc>
          <w:tcPr>
            <w:tcW w:type="dxa" w:w="312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إشعار تحديث حالة الطلب</w:t>
            </w:r>
          </w:p>
        </w:tc>
        <w:tc>
          <w:tcPr>
            <w:tcW w:type="dxa" w:w="312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bidi w:val="1"/>
              <w:spacing w:before="60" w:after="60"/>
            </w:pPr>
            <w:r>
              <w:rPr>
                <w:rFonts w:ascii="Dubai" w:hAnsi="Dubai" w:eastAsia="Dubai" w:cs="Dubai"/>
                <w:b w:val="0"/>
                <w:color w:val="000000"/>
                <w:sz w:val="20"/>
                <w:szCs w:val="20"/>
                <w:rtl/>
              </w:rPr>
              <w:t>إعادة هيكلة تصنيف الخدمات وإلغاء «أخرى»</w:t>
            </w:r>
          </w:p>
        </w:tc>
      </w:tr>
      <w:tr>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رادار الاحتكاك الجغرافي بالخريطة الحرارية</w:t>
            </w:r>
          </w:p>
        </w:tc>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إشعار حالة ترخيص السلاح</w:t>
            </w:r>
          </w:p>
        </w:tc>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r>
          </w:p>
        </w:tc>
      </w:tr>
    </w:tbl>
    <w:p/>
    <w:p>
      <w:pPr>
        <w:bidi w:val="1"/>
        <w:pStyle w:val="Heading2"/>
        <w:jc w:val="left"/>
      </w:pPr>
      <w:r>
        <w:rPr>
          <w:rFonts w:ascii="Dubai" w:hAnsi="Dubai" w:eastAsia="Dubai" w:cs="Dubai"/>
          <w:b/>
          <w:color w:val="B68A35"/>
          <w:sz w:val="26"/>
          <w:szCs w:val="26"/>
          <w:rtl/>
        </w:rPr>
        <w:t>الأثر المجمّع المتوقع:</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30-40%</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95%+</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10+</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color w:val="FFFFFF"/>
                <w:sz w:val="20"/>
                <w:szCs w:val="20"/>
                <w:rtl/>
              </w:rPr>
              <w:t>8.0%</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خفض حالات التواصل المتكرر والاتصالات</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دقة تصنيف الحالات بعد المُصنِّف الآلي وتطبيق المبادرات المقترحة</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حالة قابلة للإلغاء بالإشعار الاستباقي</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bidi w:val="1"/>
              <w:spacing w:before="60" w:after="60"/>
            </w:pPr>
            <w:r>
              <w:rPr>
                <w:rFonts w:ascii="Dubai" w:hAnsi="Dubai" w:eastAsia="Dubai" w:cs="Dubai"/>
                <w:b w:val="0"/>
                <w:color w:val="000000"/>
                <w:sz w:val="20"/>
                <w:szCs w:val="20"/>
                <w:rtl/>
              </w:rPr>
              <w:t>من طلبات التواصل هي استفسارات حقيقية قابلة للتحويل الكامل للخدمة الاستباقية</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Bdr>
        <w:top w:val="single" w:sz="12" w:space="4" w:color="B68A35"/>
      </w:pBdr>
    </w:pPr>
    <w:r>
      <w:rPr>
        <w:rFonts w:ascii="Dubai" w:hAnsi="Dubai" w:eastAsia="Dubai" w:cs="Dubai"/>
        <w:sz w:val="18"/>
        <w:szCs w:val="18"/>
      </w:rPr>
      <w:t xml:space="preserve">سري — للاستخدام الداخلي  |  صفحة </w:t>
    </w:r>
    <w:r>
      <w:rPr>
        <w:rFonts w:ascii="Dubai" w:hAnsi="Dubai" w:eastAsia="Dubai" w:cs="Dubai"/>
        <w:sz w:val="18"/>
        <w:szCs w:val="18"/>
      </w:rPr>
      <w:t>‏</w:t>
    </w:r>
    <w:r>
      <w:fldChar w:fldCharType="begin"/>
    </w:r>
    <w:r>
      <w:instrText xml:space="preserve"> PAGE </w:instrText>
    </w:r>
    <w:r>
      <w:fldChar w:fldCharType="end"/>
    </w:r>
    <w:r>
      <w:rPr>
        <w:rFonts w:ascii="Dubai" w:hAnsi="Dubai" w:eastAsia="Dubai" w:cs="Dubai"/>
        <w:sz w:val="18"/>
        <w:szCs w:val="18"/>
      </w:rPr>
      <w: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Header"/>
      <w:jc w:val="center"/>
      <w:pBdr>
        <w:bottom w:val="single" w:sz="12" w:space="4" w:color="B68A35"/>
      </w:pBdr>
    </w:pPr>
    <w:r>
      <w:rPr>
        <w:rFonts w:ascii="Dubai" w:hAnsi="Dubai" w:eastAsia="Dubai" w:cs="Dubai"/>
        <w:color w:val="B68A35"/>
        <w:sz w:val="20"/>
        <w:szCs w:val="20"/>
        <w:rtl/>
      </w:rPr>
      <w:t>تقرير تحليل استفسارات المتعاملين  ·  يناير - ديسمبر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Dubai" w:hAnsi="Dubai" w:cs="Duba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ubai" w:hAnsi="Dubai" w:cs="Duba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ubai" w:hAnsi="Dubai" w:cs="Duba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ubai" w:hAnsi="Dubai" w:cs="Duba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bidi/>
      <w:spacing w:before="0" w:line="240" w:lineRule="auto"/>
      <w:ind w:left="0"/>
      <w:jc w:val="left"/>
    </w:pPr>
    <w:rPr>
      <w:rFonts w:ascii="Dubai" w:hAnsi="Dubai" w:cs="Dubai"/>
      <w:b/>
      <w:bCs/>
      <w:color w:val="FFFFFF"/>
      <w:rtl/>
    </w:rPr>
  </w:style>
  <w:style w:type="paragraph" w:styleId="TOC1">
    <w:name w:val="toc 1"/>
    <w:basedOn w:val="Normal"/>
    <w:next w:val="Normal"/>
    <w:autoRedefine/>
    <w:uiPriority w:val="39"/>
    <w:unhideWhenUsed/>
    <w:pPr>
      <w:tabs>
        <w:tab w:val="right" w:leader="dot" w:pos="9310"/>
      </w:tabs>
      <w:bidi/>
      <w:spacing w:after="100"/>
      <w:jc w:val="left"/>
    </w:pPr>
    <w:rPr>
      <w:rFonts w:cs="Dubai"/>
    </w:rPr>
  </w:style>
  <w:style w:type="paragraph" w:styleId="TOC2">
    <w:name w:val="toc 2"/>
    <w:basedOn w:val="Normal"/>
    <w:next w:val="Normal"/>
    <w:autoRedefine/>
    <w:uiPriority w:val="39"/>
    <w:unhideWhenUsed/>
    <w:pPr>
      <w:tabs>
        <w:tab w:val="right" w:leader="dot" w:pos="9310"/>
      </w:tabs>
      <w:bidi/>
      <w:spacing w:after="100"/>
      <w:jc w:val="left"/>
    </w:pPr>
    <w:rPr>
      <w:rFonts w:cs="Dubai"/>
    </w:rPr>
  </w:style>
  <w:style w:type="paragraph" w:styleId="TOC3">
    <w:name w:val="toc 3"/>
    <w:basedOn w:val="Normal"/>
    <w:next w:val="Normal"/>
    <w:autoRedefine/>
    <w:uiPriority w:val="39"/>
    <w:unhideWhenUsed/>
    <w:pPr>
      <w:tabs>
        <w:tab w:val="right" w:leader="dot" w:pos="9310"/>
      </w:tabs>
      <w:bidi/>
      <w:spacing w:after="100"/>
      <w:jc w:val="left"/>
    </w:pPr>
    <w:rPr>
      <w:rFonts w:cs="Duba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التصنيف الأصلي مقارنةً بالتصنيف الصحيح</a:t>
            </a:r>
          </a:p>
        </c:rich>
      </c:tx>
      <c:overlay val="0"/>
    </c:title>
    <c:plotArea>
      <c:layout/>
      <c:barChart>
        <c:barDir val="col"/>
        <c:grouping val="clustered"/>
        <c:varyColors val="0"/>
        <c:ser>
          <c:idx val="0"/>
          <c:order val="0"/>
          <c:tx>
            <c:strRef>
              <c:f>Sheet1!$B$1</c:f>
              <c:strCache>
                <c:ptCount val="1"/>
                <c:pt idx="0">
                  <c:v>التصنيف الصحيح</c:v>
                </c:pt>
              </c:strCache>
            </c:strRef>
          </c:tx>
          <c:spPr>
            <a:solidFill>
              <a:srgbClr val="B68A35"/>
            </a:solidFill>
            <a:ln>
              <a:solidFill>
                <a:srgbClr val="B68A35"/>
              </a:solidFill>
            </a:ln>
          </c:spPr>
          <c:cat>
            <c:strRef>
              <c:f>Sheet1!$A$2:$A$5</c:f>
              <c:strCache>
                <c:ptCount val="4"/>
                <c:pt idx="0">
                  <c:v>شكوى</c:v>
                </c:pt>
                <c:pt idx="1">
                  <c:v>استفسار</c:v>
                </c:pt>
                <c:pt idx="2">
                  <c:v>طلب</c:v>
                </c:pt>
                <c:pt idx="3">
                  <c:v>شكر وثناء</c:v>
                </c:pt>
              </c:strCache>
            </c:strRef>
          </c:cat>
          <c:val>
            <c:numRef>
              <c:f>Sheet1!$B$2:$B$5</c:f>
              <c:numCache>
                <c:formatCode>General</c:formatCode>
                <c:ptCount val="4"/>
                <c:pt idx="0">
                  <c:v>30.0</c:v>
                </c:pt>
                <c:pt idx="1">
                  <c:v>4.0</c:v>
                </c:pt>
                <c:pt idx="2">
                  <c:v>16.0</c:v>
                </c:pt>
                <c:pt idx="3">
                  <c:v>0.0</c:v>
                </c:pt>
              </c:numCache>
            </c:numRef>
          </c:val>
        </c:ser>
        <c:ser>
          <c:idx val="1"/>
          <c:order val="1"/>
          <c:tx>
            <c:strRef>
              <c:f>Sheet1!$C$1</c:f>
              <c:strCache>
                <c:ptCount val="1"/>
                <c:pt idx="0">
                  <c:v>التصنيف الأصلي</c:v>
                </c:pt>
              </c:strCache>
            </c:strRef>
          </c:tx>
          <c:spPr>
            <a:solidFill>
              <a:srgbClr val="999999"/>
            </a:solidFill>
            <a:ln>
              <a:solidFill>
                <a:srgbClr val="999999"/>
              </a:solidFill>
            </a:ln>
          </c:spPr>
          <c:cat>
            <c:strRef>
              <c:f>Sheet1!$A$2:$A$5</c:f>
              <c:strCache>
                <c:ptCount val="4"/>
                <c:pt idx="0">
                  <c:v>شكوى</c:v>
                </c:pt>
                <c:pt idx="1">
                  <c:v>استفسار</c:v>
                </c:pt>
                <c:pt idx="2">
                  <c:v>طلب</c:v>
                </c:pt>
                <c:pt idx="3">
                  <c:v>شكر وثناء</c:v>
                </c:pt>
              </c:strCache>
            </c:strRef>
          </c:cat>
          <c:val>
            <c:numRef>
              <c:f>Sheet1!$C$2:$C$5</c:f>
              <c:numCache>
                <c:formatCode>General</c:formatCode>
                <c:ptCount val="4"/>
                <c:pt idx="0">
                  <c:v>0.0</c:v>
                </c:pt>
                <c:pt idx="1">
                  <c:v>50.0</c:v>
                </c:pt>
                <c:pt idx="2">
                  <c:v>0.0</c:v>
                </c:pt>
                <c:pt idx="3">
                  <c:v>0.0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