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xlsx" ContentType="application/vnd.openxmlformats-officedocument.spreadsheetml.sheet"/>
  <Override PartName="/word/charts/chart1.xml" ContentType="application/vnd.openxmlformats-officedocument.drawingml.chart+xml"/>
  <Override PartName="/word/embeddings/chart1_data.xlsx" ContentType="application/vnd.openxmlformats-officedocument.spreadsheetml.shee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c="http://schemas.openxmlformats.org/drawingml/2006/chart" mc:Ignorable="w14 wp14">
  <w:body>
    <w:p>
      <w:pPr>
        <w:spacing w:before="0" w:after="240"/>
      </w:pPr>
    </w:p>
    <w:p>
      <w:pPr>
        <w:jc w:val="center"/>
      </w:pPr>
      <w:r>
        <w:drawing>
          <wp:inline xmlns:pic="http://schemas.openxmlformats.org/drawingml/2006/picture">
            <wp:extent cx="1508400" cy="986400"/>
            <wp:docPr id="1" name="Picture 1"/>
            <wp:cNvGraphicFramePr>
              <a:graphicFrameLocks noChangeAspect="1"/>
            </wp:cNvGraphicFramePr>
            <a:graphic>
              <a:graphicData uri="http://schemas.openxmlformats.org/drawingml/2006/picture">
                <pic:pic>
                  <pic:nvPicPr>
                    <pic:cNvPr id="0" name="fujairah-short-logo.png"/>
                    <pic:cNvPicPr/>
                  </pic:nvPicPr>
                  <pic:blipFill>
                    <a:blip r:embed="rId11"/>
                    <a:stretch>
                      <a:fillRect/>
                    </a:stretch>
                  </pic:blipFill>
                  <pic:spPr>
                    <a:xfrm>
                      <a:off x="0" y="0"/>
                      <a:ext cx="1508400" cy="986400"/>
                    </a:xfrm>
                    <a:prstGeom prst="rect"/>
                  </pic:spPr>
                </pic:pic>
              </a:graphicData>
            </a:graphic>
          </wp:inline>
        </w:drawing>
      </w:r>
    </w:p>
    <w:p>
      <w:pPr>
        <w:spacing w:before="160" w:after="160"/>
        <w:pBdr>
          <w:bottom w:val="single" w:sz="12" w:space="4" w:color="B68A35"/>
        </w:pBdr>
      </w:pPr>
    </w:p>
    <w:p>
      <w:pPr>
        <w:pStyle w:val="Heading1"/>
        <w:spacing w:before="240" w:after="240"/>
        <w:jc w:val="center"/>
      </w:pPr>
      <w:r>
        <w:rPr>
          <w:rFonts w:ascii="Calibri" w:hAnsi="Calibri" w:eastAsia="Calibri" w:cs="Calibri"/>
          <w:b/>
          <w:color w:val="B68A35"/>
          <w:sz w:val="32"/>
          <w:szCs w:val="32"/>
        </w:rPr>
        <w:t>Customer Inquiry Analysis Report — January - December 2025</w:t>
      </w:r>
      <w:bookmarkStart w:id="1" w:name="_Toc000000001"/>
      <w:bookmarkEnd w:id="1"/>
    </w:p>
    <w:p>
      <w:pPr>
        <w:spacing w:before="160" w:after="160"/>
        <w:pBdr>
          <w:bottom w:val="single" w:sz="12" w:space="4" w:color="B68A35"/>
        </w:pBdr>
      </w:pPr>
    </w:p>
    <w:p>
      <w:pPr>
        <w:spacing w:before="0" w:after="320"/>
      </w:pPr>
    </w:p>
    <w:p>
      <w:pPr>
        <w:spacing w:after="160"/>
        <w:jc w:val="center"/>
      </w:pPr>
      <w:r>
        <w:rPr>
          <w:rFonts w:ascii="Calibri" w:hAnsi="Calibri" w:eastAsia="Calibri" w:cs="Calibri"/>
          <w:b/>
          <w:i w:val="0"/>
          <w:color w:val="B68A35"/>
          <w:sz w:val="28"/>
          <w:szCs w:val="24"/>
          <w:u w:val="none"/>
        </w:rPr>
        <w:t>January - December 2025</w:t>
      </w:r>
    </w:p>
    <w:p>
      <w:pPr>
        <w:spacing w:before="0" w:after="320"/>
      </w:pPr>
    </w:p>
    <w:p>
      <w:pPr>
        <w:spacing w:after="160"/>
        <w:jc w:val="center"/>
      </w:pPr>
      <w:r>
        <w:rPr>
          <w:rFonts w:ascii="Calibri" w:hAnsi="Calibri" w:eastAsia="Calibri" w:cs="Calibri"/>
          <w:b/>
          <w:i w:val="0"/>
          <w:color w:val="B68A35"/>
          <w:sz w:val="28"/>
          <w:szCs w:val="24"/>
          <w:u w:val="none"/>
        </w:rPr>
        <w:t>Total Cases: 50</w:t>
      </w:r>
    </w:p>
    <w:p>
      <w:pPr>
        <w:spacing w:after="160"/>
        <w:jc w:val="center"/>
      </w:pPr>
      <w:r>
        <w:rPr>
          <w:rFonts w:ascii="Calibri" w:hAnsi="Calibri" w:eastAsia="Calibri" w:cs="Calibri"/>
          <w:b/>
          <w:i w:val="0"/>
          <w:color w:val="B68A35"/>
          <w:sz w:val="28"/>
          <w:szCs w:val="24"/>
          <w:u w:val="none"/>
        </w:rPr>
        <w:t>Complaints: 60.0% of Total Contact</w:t>
      </w:r>
    </w:p>
    <w:p>
      <w:pPr>
        <w:spacing w:after="160"/>
        <w:jc w:val="center"/>
      </w:pPr>
      <w:r>
        <w:rPr>
          <w:rFonts w:ascii="Calibri" w:hAnsi="Calibri" w:eastAsia="Calibri" w:cs="Calibri"/>
          <w:b/>
          <w:i w:val="0"/>
          <w:color w:val="B68A35"/>
          <w:sz w:val="28"/>
          <w:szCs w:val="24"/>
          <w:u w:val="none"/>
        </w:rPr>
        <w:t>On-Time Closure Rate: 98%</w:t>
      </w:r>
    </w:p>
    <w:p>
      <w:pPr>
        <w:spacing w:before="0" w:after="640"/>
      </w:pPr>
    </w:p>
    <w:p>
      <w:pPr>
        <w:spacing w:after="0"/>
        <w:jc w:val="center"/>
      </w:pPr>
      <w:r>
        <w:rPr>
          <w:rFonts w:ascii="Calibri" w:hAnsi="Calibri" w:eastAsia="Calibri" w:cs="Calibri"/>
          <w:b w:val="0"/>
          <w:i w:val="0"/>
          <w:color w:val="606060"/>
          <w:sz w:val="24"/>
          <w:szCs w:val="24"/>
          <w:u w:val="none"/>
        </w:rPr>
        <w:t>Fujairah Police  |  2026-05-15  |  Integrated Business Intelligence Analysis</w:t>
      </w:r>
    </w:p>
    <w:p>
      <w:r>
        <w:br w:type="page"/>
      </w:r>
    </w:p>
    <w:sdt>
      <w:sdtPr>
        <w:docPartObj>
          <w:docPartGallery w:val="Table of Contents"/>
          <w:docPartUnique/>
        </w:docPartObj>
      </w:sdtPr>
      <w:sdtEndPr/>
      <w:sdtContent>
        <w:p>
          <w:pPr>
            <w:pStyle w:val="TOCHeading"/>
          </w:pPr>
          <w:r>
            <w:rPr>
              <w:rFonts w:ascii="Calibri" w:hAnsi="Calibri" w:cs="Calibri"/>
              <w:color w:val="FFFFFF"/>
            </w:rPr>
            <w:t>Table of Contents</w:t>
          </w:r>
        </w:p>
        <w:p>
          <w:pPr>
            <w:pStyle w:val="TOC1"/>
          </w:pPr>
          <w:r>
            <w:fldChar w:fldCharType="begin"/>
          </w:r>
          <w:r>
            <w:instrText xml:space="preserve"> TOC \o "1-3" \h \z \u </w:instrText>
          </w:r>
          <w:r>
            <w:fldChar w:fldCharType="separate"/>
          </w:r>
          <w:hyperlink w:anchor="_Toc000000002" w:history="1">
            <w:r>
              <w:rPr>
                <w:rStyle w:val="Hyperlink"/>
                <w:rFonts w:ascii="Calibri" w:hAnsi="Calibri" w:cs="Calibri"/>
                <w:noProof/>
              </w:rPr>
              <w:t>Section One: Executive Summary — Key Analyses</w:t>
            </w:r>
            <w:r>
              <w:rPr>
                <w:noProof/>
                <w:webHidden/>
              </w:rPr>
              <w:tab/>
            </w:r>
            <w:r>
              <w:fldChar w:fldCharType="begin"/>
            </w:r>
            <w:r>
              <w:instrText xml:space="preserve"> PAGEREF _Toc000000002 \h </w:instrText>
            </w:r>
            <w:r>
              <w:rPr>
                <w:noProof/>
                <w:webHidden/>
              </w:rPr>
              <w:fldChar w:fldCharType="separate"/>
            </w:r>
            <w:r>
              <w:rPr>
                <w:noProof/>
                <w:webHidden/>
              </w:rPr>
              <w:t>1</w:t>
            </w:r>
            <w:r>
              <w:rPr>
                <w:noProof/>
                <w:webHidden/>
              </w:rPr>
              <w:fldChar w:fldCharType="end"/>
            </w:r>
          </w:hyperlink>
        </w:p>
        <w:p>
          <w:pPr>
            <w:pStyle w:val="TOC2"/>
          </w:pPr>
          <w:hyperlink w:anchor="_Toc000000003" w:history="1">
            <w:r>
              <w:rPr>
                <w:rStyle w:val="Hyperlink"/>
                <w:rFonts w:ascii="Calibri" w:hAnsi="Calibri" w:cs="Calibri"/>
                <w:noProof/>
              </w:rPr>
              <w:t>Key Findings</w:t>
            </w:r>
            <w:r>
              <w:rPr>
                <w:noProof/>
                <w:webHidden/>
              </w:rPr>
              <w:tab/>
            </w:r>
            <w:r>
              <w:fldChar w:fldCharType="begin"/>
            </w:r>
            <w:r>
              <w:instrText xml:space="preserve"> PAGEREF _Toc000000003 \h </w:instrText>
            </w:r>
            <w:r>
              <w:rPr>
                <w:noProof/>
                <w:webHidden/>
              </w:rPr>
              <w:fldChar w:fldCharType="separate"/>
            </w:r>
            <w:r>
              <w:rPr>
                <w:noProof/>
                <w:webHidden/>
              </w:rPr>
              <w:t>1</w:t>
            </w:r>
            <w:r>
              <w:rPr>
                <w:noProof/>
                <w:webHidden/>
              </w:rPr>
              <w:fldChar w:fldCharType="end"/>
            </w:r>
          </w:hyperlink>
        </w:p>
        <w:p>
          <w:pPr>
            <w:pStyle w:val="TOC1"/>
          </w:pPr>
          <w:hyperlink w:anchor="_Toc000000004" w:history="1">
            <w:r>
              <w:rPr>
                <w:rStyle w:val="Hyperlink"/>
                <w:rFonts w:ascii="Calibri" w:hAnsi="Calibri" w:cs="Calibri"/>
                <w:noProof/>
              </w:rPr>
              <w:t>Section Two: Methodology and Nature of Sources</w:t>
            </w:r>
            <w:r>
              <w:rPr>
                <w:noProof/>
                <w:webHidden/>
              </w:rPr>
              <w:tab/>
            </w:r>
            <w:r>
              <w:fldChar w:fldCharType="begin"/>
            </w:r>
            <w:r>
              <w:instrText xml:space="preserve"> PAGEREF _Toc000000004 \h </w:instrText>
            </w:r>
            <w:r>
              <w:rPr>
                <w:noProof/>
                <w:webHidden/>
              </w:rPr>
              <w:fldChar w:fldCharType="separate"/>
            </w:r>
            <w:r>
              <w:rPr>
                <w:noProof/>
                <w:webHidden/>
              </w:rPr>
              <w:t>1</w:t>
            </w:r>
            <w:r>
              <w:rPr>
                <w:noProof/>
                <w:webHidden/>
              </w:rPr>
              <w:fldChar w:fldCharType="end"/>
            </w:r>
          </w:hyperlink>
        </w:p>
        <w:p>
          <w:pPr>
            <w:pStyle w:val="TOC2"/>
          </w:pPr>
          <w:hyperlink w:anchor="_Toc000000005" w:history="1">
            <w:r>
              <w:rPr>
                <w:rStyle w:val="Hyperlink"/>
                <w:rFonts w:ascii="Calibri" w:hAnsi="Calibri" w:cs="Calibri"/>
                <w:noProof/>
              </w:rPr>
              <w:t>2.1  Sources Analysed</w:t>
            </w:r>
            <w:r>
              <w:rPr>
                <w:noProof/>
                <w:webHidden/>
              </w:rPr>
              <w:tab/>
            </w:r>
            <w:r>
              <w:fldChar w:fldCharType="begin"/>
            </w:r>
            <w:r>
              <w:instrText xml:space="preserve"> PAGEREF _Toc000000005 \h </w:instrText>
            </w:r>
            <w:r>
              <w:rPr>
                <w:noProof/>
                <w:webHidden/>
              </w:rPr>
              <w:fldChar w:fldCharType="separate"/>
            </w:r>
            <w:r>
              <w:rPr>
                <w:noProof/>
                <w:webHidden/>
              </w:rPr>
              <w:t>1</w:t>
            </w:r>
            <w:r>
              <w:rPr>
                <w:noProof/>
                <w:webHidden/>
              </w:rPr>
              <w:fldChar w:fldCharType="end"/>
            </w:r>
          </w:hyperlink>
        </w:p>
        <w:p>
          <w:pPr>
            <w:pStyle w:val="TOC2"/>
          </w:pPr>
          <w:hyperlink w:anchor="_Toc000000006" w:history="1">
            <w:r>
              <w:rPr>
                <w:rStyle w:val="Hyperlink"/>
                <w:rFonts w:ascii="Calibri" w:hAnsi="Calibri" w:cs="Calibri"/>
                <w:noProof/>
              </w:rPr>
              <w:t>2.2  Classification Methodology</w:t>
            </w:r>
            <w:r>
              <w:rPr>
                <w:noProof/>
                <w:webHidden/>
              </w:rPr>
              <w:tab/>
            </w:r>
            <w:r>
              <w:fldChar w:fldCharType="begin"/>
            </w:r>
            <w:r>
              <w:instrText xml:space="preserve"> PAGEREF _Toc000000006 \h </w:instrText>
            </w:r>
            <w:r>
              <w:rPr>
                <w:noProof/>
                <w:webHidden/>
              </w:rPr>
              <w:fldChar w:fldCharType="separate"/>
            </w:r>
            <w:r>
              <w:rPr>
                <w:noProof/>
                <w:webHidden/>
              </w:rPr>
              <w:t>1</w:t>
            </w:r>
            <w:r>
              <w:rPr>
                <w:noProof/>
                <w:webHidden/>
              </w:rPr>
              <w:fldChar w:fldCharType="end"/>
            </w:r>
          </w:hyperlink>
        </w:p>
        <w:p>
          <w:pPr>
            <w:pStyle w:val="TOC2"/>
          </w:pPr>
          <w:hyperlink w:anchor="_Toc000000007" w:history="1">
            <w:r>
              <w:rPr>
                <w:rStyle w:val="Hyperlink"/>
                <w:rFonts w:ascii="Calibri" w:hAnsi="Calibri" w:cs="Calibri"/>
                <w:noProof/>
              </w:rPr>
              <w:t>2.3  Fields Analysed</w:t>
            </w:r>
            <w:r>
              <w:rPr>
                <w:noProof/>
                <w:webHidden/>
              </w:rPr>
              <w:tab/>
            </w:r>
            <w:r>
              <w:fldChar w:fldCharType="begin"/>
            </w:r>
            <w:r>
              <w:instrText xml:space="preserve"> PAGEREF _Toc000000007 \h </w:instrText>
            </w:r>
            <w:r>
              <w:rPr>
                <w:noProof/>
                <w:webHidden/>
              </w:rPr>
              <w:fldChar w:fldCharType="separate"/>
            </w:r>
            <w:r>
              <w:rPr>
                <w:noProof/>
                <w:webHidden/>
              </w:rPr>
              <w:t>1</w:t>
            </w:r>
            <w:r>
              <w:rPr>
                <w:noProof/>
                <w:webHidden/>
              </w:rPr>
              <w:fldChar w:fldCharType="end"/>
            </w:r>
          </w:hyperlink>
        </w:p>
        <w:p>
          <w:pPr>
            <w:pStyle w:val="TOC1"/>
          </w:pPr>
          <w:hyperlink w:anchor="_Toc000000008" w:history="1">
            <w:r>
              <w:rPr>
                <w:rStyle w:val="Hyperlink"/>
                <w:rFonts w:ascii="Calibri" w:hAnsi="Calibri" w:cs="Calibri"/>
                <w:noProof/>
              </w:rPr>
              <w:t>Section Three: First Analysis — Contact Type Classification Map</w:t>
            </w:r>
            <w:r>
              <w:rPr>
                <w:noProof/>
                <w:webHidden/>
              </w:rPr>
              <w:tab/>
            </w:r>
            <w:r>
              <w:fldChar w:fldCharType="begin"/>
            </w:r>
            <w:r>
              <w:instrText xml:space="preserve"> PAGEREF _Toc000000008 \h </w:instrText>
            </w:r>
            <w:r>
              <w:rPr>
                <w:noProof/>
                <w:webHidden/>
              </w:rPr>
              <w:fldChar w:fldCharType="separate"/>
            </w:r>
            <w:r>
              <w:rPr>
                <w:noProof/>
                <w:webHidden/>
              </w:rPr>
              <w:t>1</w:t>
            </w:r>
            <w:r>
              <w:rPr>
                <w:noProof/>
                <w:webHidden/>
              </w:rPr>
              <w:fldChar w:fldCharType="end"/>
            </w:r>
          </w:hyperlink>
        </w:p>
        <w:p>
          <w:pPr>
            <w:pStyle w:val="TOC2"/>
          </w:pPr>
          <w:hyperlink w:anchor="_Toc000000009" w:history="1">
            <w:r>
              <w:rPr>
                <w:rStyle w:val="Hyperlink"/>
                <w:rFonts w:ascii="Calibri" w:hAnsi="Calibri" w:cs="Calibri"/>
                <w:noProof/>
              </w:rPr>
              <w:t>3.1  Actual Contact Type Distribution</w:t>
            </w:r>
            <w:r>
              <w:rPr>
                <w:noProof/>
                <w:webHidden/>
              </w:rPr>
              <w:tab/>
            </w:r>
            <w:r>
              <w:fldChar w:fldCharType="begin"/>
            </w:r>
            <w:r>
              <w:instrText xml:space="preserve"> PAGEREF _Toc000000009 \h </w:instrText>
            </w:r>
            <w:r>
              <w:rPr>
                <w:noProof/>
                <w:webHidden/>
              </w:rPr>
              <w:fldChar w:fldCharType="separate"/>
            </w:r>
            <w:r>
              <w:rPr>
                <w:noProof/>
                <w:webHidden/>
              </w:rPr>
              <w:t>1</w:t>
            </w:r>
            <w:r>
              <w:rPr>
                <w:noProof/>
                <w:webHidden/>
              </w:rPr>
              <w:fldChar w:fldCharType="end"/>
            </w:r>
          </w:hyperlink>
        </w:p>
        <w:p>
          <w:pPr>
            <w:pStyle w:val="TOC2"/>
          </w:pPr>
          <w:hyperlink w:anchor="_Toc000000010" w:history="1">
            <w:r>
              <w:rPr>
                <w:rStyle w:val="Hyperlink"/>
                <w:rFonts w:ascii="Calibri" w:hAnsi="Calibri" w:cs="Calibri"/>
                <w:noProof/>
              </w:rPr>
              <w:t>3.2  Classification Accuracy — 92.0% of Cases Reclassified</w:t>
            </w:r>
            <w:r>
              <w:rPr>
                <w:noProof/>
                <w:webHidden/>
              </w:rPr>
              <w:tab/>
            </w:r>
            <w:r>
              <w:fldChar w:fldCharType="begin"/>
            </w:r>
            <w:r>
              <w:instrText xml:space="preserve"> PAGEREF _Toc000000010 \h </w:instrText>
            </w:r>
            <w:r>
              <w:rPr>
                <w:noProof/>
                <w:webHidden/>
              </w:rPr>
              <w:fldChar w:fldCharType="separate"/>
            </w:r>
            <w:r>
              <w:rPr>
                <w:noProof/>
                <w:webHidden/>
              </w:rPr>
              <w:t>1</w:t>
            </w:r>
            <w:r>
              <w:rPr>
                <w:noProof/>
                <w:webHidden/>
              </w:rPr>
              <w:fldChar w:fldCharType="end"/>
            </w:r>
          </w:hyperlink>
        </w:p>
        <w:p>
          <w:pPr>
            <w:pStyle w:val="TOC2"/>
          </w:pPr>
          <w:hyperlink w:anchor="_Toc000000011" w:history="1">
            <w:r>
              <w:rPr>
                <w:rStyle w:val="Hyperlink"/>
                <w:rFonts w:ascii="Calibri" w:hAnsi="Calibri" w:cs="Calibri"/>
                <w:noProof/>
              </w:rPr>
              <w:t>3.3  Complaints Breakdown (30 cases — 60.0%)</w:t>
            </w:r>
            <w:r>
              <w:rPr>
                <w:noProof/>
                <w:webHidden/>
              </w:rPr>
              <w:tab/>
            </w:r>
            <w:r>
              <w:fldChar w:fldCharType="begin"/>
            </w:r>
            <w:r>
              <w:instrText xml:space="preserve"> PAGEREF _Toc000000011 \h </w:instrText>
            </w:r>
            <w:r>
              <w:rPr>
                <w:noProof/>
                <w:webHidden/>
              </w:rPr>
              <w:fldChar w:fldCharType="separate"/>
            </w:r>
            <w:r>
              <w:rPr>
                <w:noProof/>
                <w:webHidden/>
              </w:rPr>
              <w:t>1</w:t>
            </w:r>
            <w:r>
              <w:rPr>
                <w:noProof/>
                <w:webHidden/>
              </w:rPr>
              <w:fldChar w:fldCharType="end"/>
            </w:r>
          </w:hyperlink>
        </w:p>
        <w:p>
          <w:pPr>
            <w:pStyle w:val="TOC2"/>
          </w:pPr>
          <w:hyperlink w:anchor="_Toc000000012" w:history="1">
            <w:r>
              <w:rPr>
                <w:rStyle w:val="Hyperlink"/>
                <w:rFonts w:ascii="Calibri" w:hAnsi="Calibri" w:cs="Calibri"/>
                <w:noProof/>
              </w:rPr>
              <w:t>3.4  Service Requests and Inquiries Breakdown</w:t>
            </w:r>
            <w:r>
              <w:rPr>
                <w:noProof/>
                <w:webHidden/>
              </w:rPr>
              <w:tab/>
            </w:r>
            <w:r>
              <w:fldChar w:fldCharType="begin"/>
            </w:r>
            <w:r>
              <w:instrText xml:space="preserve"> PAGEREF _Toc000000012 \h </w:instrText>
            </w:r>
            <w:r>
              <w:rPr>
                <w:noProof/>
                <w:webHidden/>
              </w:rPr>
              <w:fldChar w:fldCharType="separate"/>
            </w:r>
            <w:r>
              <w:rPr>
                <w:noProof/>
                <w:webHidden/>
              </w:rPr>
              <w:t>1</w:t>
            </w:r>
            <w:r>
              <w:rPr>
                <w:noProof/>
                <w:webHidden/>
              </w:rPr>
              <w:fldChar w:fldCharType="end"/>
            </w:r>
          </w:hyperlink>
        </w:p>
        <w:p>
          <w:pPr>
            <w:pStyle w:val="TOC2"/>
          </w:pPr>
          <w:hyperlink w:anchor="_Toc000000013" w:history="1">
            <w:r>
              <w:rPr>
                <w:rStyle w:val="Hyperlink"/>
                <w:rFonts w:ascii="Calibri" w:hAnsi="Calibri" w:cs="Calibri"/>
                <w:noProof/>
              </w:rPr>
              <w:t>3.5  Most Frequent Recurring Inquiries (4 cases — 8.0%) — highest potential for full digital self-service conversion</w:t>
            </w:r>
            <w:r>
              <w:rPr>
                <w:noProof/>
                <w:webHidden/>
              </w:rPr>
              <w:tab/>
            </w:r>
            <w:r>
              <w:fldChar w:fldCharType="begin"/>
            </w:r>
            <w:r>
              <w:instrText xml:space="preserve"> PAGEREF _Toc000000013 \h </w:instrText>
            </w:r>
            <w:r>
              <w:rPr>
                <w:noProof/>
                <w:webHidden/>
              </w:rPr>
              <w:fldChar w:fldCharType="separate"/>
            </w:r>
            <w:r>
              <w:rPr>
                <w:noProof/>
                <w:webHidden/>
              </w:rPr>
              <w:t>1</w:t>
            </w:r>
            <w:r>
              <w:rPr>
                <w:noProof/>
                <w:webHidden/>
              </w:rPr>
              <w:fldChar w:fldCharType="end"/>
            </w:r>
          </w:hyperlink>
        </w:p>
        <w:p>
          <w:pPr>
            <w:pStyle w:val="TOC1"/>
          </w:pPr>
          <w:hyperlink w:anchor="_Toc000000014" w:history="1">
            <w:r>
              <w:rPr>
                <w:rStyle w:val="Hyperlink"/>
                <w:rFonts w:ascii="Calibri" w:hAnsi="Calibri" w:cs="Calibri"/>
                <w:noProof/>
              </w:rPr>
              <w:t>Section Four: Second Analysis — Customer Journey Challenges</w:t>
            </w:r>
            <w:r>
              <w:rPr>
                <w:noProof/>
                <w:webHidden/>
              </w:rPr>
              <w:tab/>
            </w:r>
            <w:r>
              <w:fldChar w:fldCharType="begin"/>
            </w:r>
            <w:r>
              <w:instrText xml:space="preserve"> PAGEREF _Toc000000014 \h </w:instrText>
            </w:r>
            <w:r>
              <w:rPr>
                <w:noProof/>
                <w:webHidden/>
              </w:rPr>
              <w:fldChar w:fldCharType="separate"/>
            </w:r>
            <w:r>
              <w:rPr>
                <w:noProof/>
                <w:webHidden/>
              </w:rPr>
              <w:t>1</w:t>
            </w:r>
            <w:r>
              <w:rPr>
                <w:noProof/>
                <w:webHidden/>
              </w:rPr>
              <w:fldChar w:fldCharType="end"/>
            </w:r>
          </w:hyperlink>
        </w:p>
        <w:p>
          <w:pPr>
            <w:pStyle w:val="TOC1"/>
          </w:pPr>
          <w:hyperlink w:anchor="_Toc000000015" w:history="1">
            <w:r>
              <w:rPr>
                <w:rStyle w:val="Hyperlink"/>
                <w:rFonts w:ascii="Calibri" w:hAnsi="Calibri" w:cs="Calibri"/>
                <w:noProof/>
              </w:rPr>
              <w:t>Section Five: Third Analysis — Digital Gap Analysis</w:t>
            </w:r>
            <w:r>
              <w:rPr>
                <w:noProof/>
                <w:webHidden/>
              </w:rPr>
              <w:tab/>
            </w:r>
            <w:r>
              <w:fldChar w:fldCharType="begin"/>
            </w:r>
            <w:r>
              <w:instrText xml:space="preserve"> PAGEREF _Toc000000015 \h </w:instrText>
            </w:r>
            <w:r>
              <w:rPr>
                <w:noProof/>
                <w:webHidden/>
              </w:rPr>
              <w:fldChar w:fldCharType="separate"/>
            </w:r>
            <w:r>
              <w:rPr>
                <w:noProof/>
                <w:webHidden/>
              </w:rPr>
              <w:t>1</w:t>
            </w:r>
            <w:r>
              <w:rPr>
                <w:noProof/>
                <w:webHidden/>
              </w:rPr>
              <w:fldChar w:fldCharType="end"/>
            </w:r>
          </w:hyperlink>
        </w:p>
        <w:p>
          <w:pPr>
            <w:pStyle w:val="TOC2"/>
          </w:pPr>
          <w:hyperlink w:anchor="_Toc000000016" w:history="1">
            <w:r>
              <w:rPr>
                <w:rStyle w:val="Hyperlink"/>
                <w:rFonts w:ascii="Calibri" w:hAnsi="Calibri" w:cs="Calibri"/>
                <w:noProof/>
              </w:rPr>
              <w:t>5.1  Consolidated Gaps Table</w:t>
            </w:r>
            <w:r>
              <w:rPr>
                <w:noProof/>
                <w:webHidden/>
              </w:rPr>
              <w:tab/>
            </w:r>
            <w:r>
              <w:fldChar w:fldCharType="begin"/>
            </w:r>
            <w:r>
              <w:instrText xml:space="preserve"> PAGEREF _Toc000000016 \h </w:instrText>
            </w:r>
            <w:r>
              <w:rPr>
                <w:noProof/>
                <w:webHidden/>
              </w:rPr>
              <w:fldChar w:fldCharType="separate"/>
            </w:r>
            <w:r>
              <w:rPr>
                <w:noProof/>
                <w:webHidden/>
              </w:rPr>
              <w:t>1</w:t>
            </w:r>
            <w:r>
              <w:rPr>
                <w:noProof/>
                <w:webHidden/>
              </w:rPr>
              <w:fldChar w:fldCharType="end"/>
            </w:r>
          </w:hyperlink>
        </w:p>
        <w:p>
          <w:pPr>
            <w:pStyle w:val="TOC2"/>
          </w:pPr>
          <w:hyperlink w:anchor="_Toc000000017" w:history="1">
            <w:r>
              <w:rPr>
                <w:rStyle w:val="Hyperlink"/>
                <w:rFonts w:ascii="Calibri" w:hAnsi="Calibri" w:cs="Calibri"/>
                <w:noProof/>
              </w:rPr>
              <w:t>5.2  Root Causes of Continued Issues</w:t>
            </w:r>
            <w:r>
              <w:rPr>
                <w:noProof/>
                <w:webHidden/>
              </w:rPr>
              <w:tab/>
            </w:r>
            <w:r>
              <w:fldChar w:fldCharType="begin"/>
            </w:r>
            <w:r>
              <w:instrText xml:space="preserve"> PAGEREF _Toc000000017 \h </w:instrText>
            </w:r>
            <w:r>
              <w:rPr>
                <w:noProof/>
                <w:webHidden/>
              </w:rPr>
              <w:fldChar w:fldCharType="separate"/>
            </w:r>
            <w:r>
              <w:rPr>
                <w:noProof/>
                <w:webHidden/>
              </w:rPr>
              <w:t>1</w:t>
            </w:r>
            <w:r>
              <w:rPr>
                <w:noProof/>
                <w:webHidden/>
              </w:rPr>
              <w:fldChar w:fldCharType="end"/>
            </w:r>
          </w:hyperlink>
        </w:p>
        <w:p>
          <w:pPr>
            <w:pStyle w:val="TOC1"/>
          </w:pPr>
          <w:hyperlink w:anchor="_Toc000000018" w:history="1">
            <w:r>
              <w:rPr>
                <w:rStyle w:val="Hyperlink"/>
                <w:rFonts w:ascii="Calibri" w:hAnsi="Calibri" w:cs="Calibri"/>
                <w:noProof/>
              </w:rPr>
              <w:t>Section Six: Fourth Analysis — Digital Transformation Plan</w:t>
            </w:r>
            <w:r>
              <w:rPr>
                <w:noProof/>
                <w:webHidden/>
              </w:rPr>
              <w:tab/>
            </w:r>
            <w:r>
              <w:fldChar w:fldCharType="begin"/>
            </w:r>
            <w:r>
              <w:instrText xml:space="preserve"> PAGEREF _Toc000000018 \h </w:instrText>
            </w:r>
            <w:r>
              <w:rPr>
                <w:noProof/>
                <w:webHidden/>
              </w:rPr>
              <w:fldChar w:fldCharType="separate"/>
            </w:r>
            <w:r>
              <w:rPr>
                <w:noProof/>
                <w:webHidden/>
              </w:rPr>
              <w:t>1</w:t>
            </w:r>
            <w:r>
              <w:rPr>
                <w:noProof/>
                <w:webHidden/>
              </w:rPr>
              <w:fldChar w:fldCharType="end"/>
            </w:r>
          </w:hyperlink>
        </w:p>
        <w:p>
          <w:pPr>
            <w:pStyle w:val="TOC2"/>
          </w:pPr>
          <w:hyperlink w:anchor="_Toc000000019" w:history="1">
            <w:r>
              <w:rPr>
                <w:rStyle w:val="Hyperlink"/>
                <w:rFonts w:ascii="Calibri" w:hAnsi="Calibri" w:cs="Calibri"/>
                <w:noProof/>
              </w:rPr>
              <w:t>6.1  Priority Frequently Asked Questions</w:t>
            </w:r>
            <w:r>
              <w:rPr>
                <w:noProof/>
                <w:webHidden/>
              </w:rPr>
              <w:tab/>
            </w:r>
            <w:r>
              <w:fldChar w:fldCharType="begin"/>
            </w:r>
            <w:r>
              <w:instrText xml:space="preserve"> PAGEREF _Toc000000019 \h </w:instrText>
            </w:r>
            <w:r>
              <w:rPr>
                <w:noProof/>
                <w:webHidden/>
              </w:rPr>
              <w:fldChar w:fldCharType="separate"/>
            </w:r>
            <w:r>
              <w:rPr>
                <w:noProof/>
                <w:webHidden/>
              </w:rPr>
              <w:t>1</w:t>
            </w:r>
            <w:r>
              <w:rPr>
                <w:noProof/>
                <w:webHidden/>
              </w:rPr>
              <w:fldChar w:fldCharType="end"/>
            </w:r>
          </w:hyperlink>
        </w:p>
        <w:p>
          <w:pPr>
            <w:pStyle w:val="TOC2"/>
          </w:pPr>
          <w:hyperlink w:anchor="_Toc000000020" w:history="1">
            <w:r>
              <w:rPr>
                <w:rStyle w:val="Hyperlink"/>
                <w:rFonts w:ascii="Calibri" w:hAnsi="Calibri" w:cs="Calibri"/>
                <w:noProof/>
              </w:rPr>
              <w:t>6.2  Pathway to Eliminating 10+ Contact Cases via Proactive Notification</w:t>
            </w:r>
            <w:r>
              <w:rPr>
                <w:noProof/>
                <w:webHidden/>
              </w:rPr>
              <w:tab/>
            </w:r>
            <w:r>
              <w:fldChar w:fldCharType="begin"/>
            </w:r>
            <w:r>
              <w:instrText xml:space="preserve"> PAGEREF _Toc000000020 \h </w:instrText>
            </w:r>
            <w:r>
              <w:rPr>
                <w:noProof/>
                <w:webHidden/>
              </w:rPr>
              <w:fldChar w:fldCharType="separate"/>
            </w:r>
            <w:r>
              <w:rPr>
                <w:noProof/>
                <w:webHidden/>
              </w:rPr>
              <w:t>1</w:t>
            </w:r>
            <w:r>
              <w:rPr>
                <w:noProof/>
                <w:webHidden/>
              </w:rPr>
              <w:fldChar w:fldCharType="end"/>
            </w:r>
          </w:hyperlink>
        </w:p>
        <w:p>
          <w:pPr>
            <w:pStyle w:val="TOC1"/>
          </w:pPr>
          <w:hyperlink w:anchor="_Toc000000021" w:history="1">
            <w:r>
              <w:rPr>
                <w:rStyle w:val="Hyperlink"/>
                <w:rFonts w:ascii="Calibri" w:hAnsi="Calibri" w:cs="Calibri"/>
                <w:noProof/>
              </w:rPr>
              <w:t>Section Seven: AI-Powered Use Cases</w:t>
            </w:r>
            <w:r>
              <w:rPr>
                <w:noProof/>
                <w:webHidden/>
              </w:rPr>
              <w:tab/>
            </w:r>
            <w:r>
              <w:fldChar w:fldCharType="begin"/>
            </w:r>
            <w:r>
              <w:instrText xml:space="preserve"> PAGEREF _Toc000000021 \h </w:instrText>
            </w:r>
            <w:r>
              <w:rPr>
                <w:noProof/>
                <w:webHidden/>
              </w:rPr>
              <w:fldChar w:fldCharType="separate"/>
            </w:r>
            <w:r>
              <w:rPr>
                <w:noProof/>
                <w:webHidden/>
              </w:rPr>
              <w:t>1</w:t>
            </w:r>
            <w:r>
              <w:rPr>
                <w:noProof/>
                <w:webHidden/>
              </w:rPr>
              <w:fldChar w:fldCharType="end"/>
            </w:r>
          </w:hyperlink>
        </w:p>
        <w:p>
          <w:pPr>
            <w:pStyle w:val="TOC1"/>
          </w:pPr>
          <w:hyperlink w:anchor="_Toc000000022" w:history="1">
            <w:r>
              <w:rPr>
                <w:rStyle w:val="Hyperlink"/>
                <w:rFonts w:ascii="Calibri" w:hAnsi="Calibri" w:cs="Calibri"/>
                <w:noProof/>
              </w:rPr>
              <w:t>Section Eight: Proposed Improvement Roadmap</w:t>
            </w:r>
            <w:r>
              <w:rPr>
                <w:noProof/>
                <w:webHidden/>
              </w:rPr>
              <w:tab/>
            </w:r>
            <w:r>
              <w:fldChar w:fldCharType="begin"/>
            </w:r>
            <w:r>
              <w:instrText xml:space="preserve"> PAGEREF _Toc000000022 \h </w:instrText>
            </w:r>
            <w:r>
              <w:rPr>
                <w:noProof/>
                <w:webHidden/>
              </w:rPr>
              <w:fldChar w:fldCharType="separate"/>
            </w:r>
            <w:r>
              <w:rPr>
                <w:noProof/>
                <w:webHidden/>
              </w:rPr>
              <w:t>1</w:t>
            </w:r>
            <w:r>
              <w:rPr>
                <w:noProof/>
                <w:webHidden/>
              </w:rPr>
              <w:fldChar w:fldCharType="end"/>
            </w:r>
          </w:hyperlink>
        </w:p>
        <w:p>
          <w:pPr>
            <w:pStyle w:val="TOC1"/>
          </w:pPr>
          <w:hyperlink w:anchor="_Toc000000023" w:history="1">
            <w:r>
              <w:rPr>
                <w:rStyle w:val="Hyperlink"/>
                <w:rFonts w:ascii="Calibri" w:hAnsi="Calibri" w:cs="Calibri"/>
                <w:noProof/>
              </w:rPr>
              <w:t>Section Nine: Conclusion — From Data to Decision</w:t>
            </w:r>
            <w:r>
              <w:rPr>
                <w:noProof/>
                <w:webHidden/>
              </w:rPr>
              <w:tab/>
            </w:r>
            <w:r>
              <w:fldChar w:fldCharType="begin"/>
            </w:r>
            <w:r>
              <w:instrText xml:space="preserve"> PAGEREF _Toc000000023 \h </w:instrText>
            </w:r>
            <w:r>
              <w:rPr>
                <w:noProof/>
                <w:webHidden/>
              </w:rPr>
              <w:fldChar w:fldCharType="separate"/>
            </w:r>
            <w:r>
              <w:rPr>
                <w:noProof/>
                <w:webHidden/>
              </w:rPr>
              <w:t>1</w:t>
            </w:r>
            <w:r>
              <w:rPr>
                <w:noProof/>
                <w:webHidden/>
              </w:rPr>
              <w:fldChar w:fldCharType="end"/>
            </w:r>
          </w:hyperlink>
        </w:p>
        <w:p>
          <w:pPr>
            <w:pStyle w:val="TOC2"/>
          </w:pPr>
          <w:hyperlink w:anchor="_Toc000000024" w:history="1">
            <w:r>
              <w:rPr>
                <w:rStyle w:val="Hyperlink"/>
                <w:rFonts w:ascii="Calibri" w:hAnsi="Calibri" w:cs="Calibri"/>
                <w:noProof/>
              </w:rPr>
              <w:t>Three Transformation Pillars</w:t>
            </w:r>
            <w:r>
              <w:rPr>
                <w:noProof/>
                <w:webHidden/>
              </w:rPr>
              <w:tab/>
            </w:r>
            <w:r>
              <w:fldChar w:fldCharType="begin"/>
            </w:r>
            <w:r>
              <w:instrText xml:space="preserve"> PAGEREF _Toc000000024 \h </w:instrText>
            </w:r>
            <w:r>
              <w:rPr>
                <w:noProof/>
                <w:webHidden/>
              </w:rPr>
              <w:fldChar w:fldCharType="separate"/>
            </w:r>
            <w:r>
              <w:rPr>
                <w:noProof/>
                <w:webHidden/>
              </w:rPr>
              <w:t>1</w:t>
            </w:r>
            <w:r>
              <w:rPr>
                <w:noProof/>
                <w:webHidden/>
              </w:rPr>
              <w:fldChar w:fldCharType="end"/>
            </w:r>
          </w:hyperlink>
        </w:p>
        <w:p>
          <w:pPr>
            <w:pStyle w:val="TOC2"/>
          </w:pPr>
          <w:hyperlink w:anchor="_Toc000000025" w:history="1">
            <w:r>
              <w:rPr>
                <w:rStyle w:val="Hyperlink"/>
                <w:rFonts w:ascii="Calibri" w:hAnsi="Calibri" w:cs="Calibri"/>
                <w:noProof/>
              </w:rPr>
              <w:t>Expected Aggregate Impact:</w:t>
            </w:r>
            <w:r>
              <w:rPr>
                <w:noProof/>
                <w:webHidden/>
              </w:rPr>
              <w:tab/>
            </w:r>
            <w:r>
              <w:fldChar w:fldCharType="begin"/>
            </w:r>
            <w:r>
              <w:instrText xml:space="preserve"> PAGEREF _Toc000000025 \h </w:instrText>
            </w:r>
            <w:r>
              <w:rPr>
                <w:noProof/>
                <w:webHidden/>
              </w:rPr>
              <w:fldChar w:fldCharType="separate"/>
            </w:r>
            <w:r>
              <w:rPr>
                <w:noProof/>
                <w:webHidden/>
              </w:rPr>
              <w:t>1</w:t>
            </w:r>
            <w:r>
              <w:rPr>
                <w:noProof/>
                <w:webHidden/>
              </w:rPr>
              <w:fldChar w:fldCharType="end"/>
            </w:r>
          </w:hyperlink>
          <w:r>
            <w:fldChar w:fldCharType="end"/>
          </w:r>
        </w:p>
      </w:sdtContent>
    </w:sdt>
    <w:p>
      <w:r>
        <w:br w:type="page"/>
      </w:r>
    </w:p>
    <w:p>
      <w:pPr>
        <w:pStyle w:val="Heading1"/>
        <w:jc w:val="left"/>
      </w:pPr>
      <w:r>
        <w:rPr>
          <w:rFonts w:ascii="Calibri" w:hAnsi="Calibri" w:eastAsia="Calibri" w:cs="Calibri"/>
          <w:b/>
          <w:color w:val="B68A35"/>
          <w:sz w:val="32"/>
          <w:szCs w:val="32"/>
        </w:rPr>
        <w:t>Section One: Executive Summary — Key Analyses</w:t>
      </w:r>
      <w:bookmarkStart w:id="2" w:name="_Toc000000002"/>
      <w:bookmarkEnd w:id="2"/>
    </w:p>
    <w:p>
      <w:pPr>
        <w:spacing w:after="120"/>
        <w:jc w:val="both"/>
      </w:pPr>
      <w:r>
        <w:rPr>
          <w:rFonts w:ascii="Calibri" w:hAnsi="Calibri" w:eastAsia="Calibri" w:cs="Calibri"/>
          <w:b w:val="0"/>
          <w:i w:val="0"/>
          <w:color w:val="000000"/>
          <w:sz w:val="24"/>
          <w:szCs w:val="24"/>
          <w:u w:val="none"/>
        </w:rPr>
        <w:t>This report presents an in-depth analysis of 50 cases extracted from the Customer Relationship Management System Export for the period January to December 2025, compared against the Service Guide and Frequently Asked Questions, with the objective of converting raw data into actionable operational decisions rather than merely presenting figures. The critical finding is that 92.0% of cases were misclassified in the original source; following reclassification, complaints now represent 60.0% of the total operational workload, revealing a deep structural gap that had been concealed behind inaccurate data.</w:t>
      </w:r>
    </w:p>
    <w:p>
      <w:pPr>
        <w:pStyle w:val="Heading2"/>
        <w:jc w:val="left"/>
      </w:pPr>
      <w:r>
        <w:rPr>
          <w:rFonts w:ascii="Calibri" w:hAnsi="Calibri" w:eastAsia="Calibri" w:cs="Calibri"/>
          <w:b/>
          <w:color w:val="B68A35"/>
          <w:sz w:val="26"/>
          <w:szCs w:val="26"/>
        </w:rPr>
        <w:t>Key Findings</w:t>
      </w:r>
      <w:bookmarkStart w:id="3" w:name="_Toc000000003"/>
      <w:bookmarkEnd w:id="3"/>
    </w:p>
    <w:p>
      <w:pPr>
        <w:spacing w:after="120"/>
        <w:jc w:val="both"/>
      </w:pPr>
      <w:r>
        <w:rPr>
          <w:rFonts w:ascii="Calibri" w:hAnsi="Calibri" w:eastAsia="Calibri" w:cs="Calibri"/>
          <w:b w:val="0"/>
          <w:i w:val="0"/>
          <w:color w:val="000000"/>
          <w:sz w:val="24"/>
          <w:szCs w:val="24"/>
          <w:u w:val="none"/>
        </w:rPr>
        <w:t>Core Message: The misclassification of 92.0% of cases, alongside 8 documented friction points covered by the current service framework at an average rate of no more than 24.0%, reveals a systemic failure in customer experience monitoring mechanisms rather than isolated gaps. Addressing this failure will directly convert 30 documented complaint cases into measurable improvement opportunities, while investing in 3 proactive notification opportunities capable of reducing customer contact with support before issues occur. The true path to reform does not begin with raising closure rates — which are already high at 98.0% — but with building an accurate data framework that ensures every operational decision is grounded in solid knowledge.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Finding</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Description</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Priority Level</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92.0% Inaccurate Classification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46 out of 50 cases were originally classified incorrectly. This gap forms the basis of the operational challenges identified in this analysis.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Complaints Dominate Workload at 60.0%</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30 out of 50 cases were complaints following reclassification. This concentration reflects the primary focal point for operational improvement.</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Single Friction Point: Vehicle image in the violation notice shows a different vehicle, or the customer was not present in Fujairah (9 cases, 18.0%)</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This friction point affects 9 cases (18.0% of total). Root cause: technical platform malfunction.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Two Friction Points — Information exists but is difficult to access (11 cases)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Two friction points share a common root cause: the absence of a digital channel for contesting traffic violations forcing customers to contact support, and the inability of customers to self-update their personal data via the application. Total affected cases: 11. Improving this group will contribute significantly to reducing friction.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 Critical</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98.0% On-Time Closure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49 out of 50 cases were closed on time (rate of 98.0%). This demonstrates operational capability, but does not address structural gaps in accuracy and understanding.</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Positive</w:t>
            </w:r>
          </w:p>
        </w:tc>
      </w:tr>
    </w:tbl>
    <w:p/>
    <w:p>
      <w:pPr>
        <w:pStyle w:val="Heading1"/>
        <w:jc w:val="left"/>
      </w:pPr>
      <w:r>
        <w:rPr>
          <w:rFonts w:ascii="Calibri" w:hAnsi="Calibri" w:eastAsia="Calibri" w:cs="Calibri"/>
          <w:b/>
          <w:color w:val="B68A35"/>
          <w:sz w:val="32"/>
          <w:szCs w:val="32"/>
        </w:rPr>
        <w:t>Section Two: Methodology and Nature of Sources</w:t>
      </w:r>
      <w:bookmarkStart w:id="4" w:name="_Toc000000004"/>
      <w:bookmarkEnd w:id="4"/>
    </w:p>
    <w:p>
      <w:pPr>
        <w:pStyle w:val="Heading2"/>
        <w:jc w:val="left"/>
      </w:pPr>
      <w:r>
        <w:rPr>
          <w:rFonts w:ascii="Calibri" w:hAnsi="Calibri" w:eastAsia="Calibri" w:cs="Calibri"/>
          <w:b/>
          <w:color w:val="B68A35"/>
          <w:sz w:val="26"/>
          <w:szCs w:val="26"/>
        </w:rPr>
        <w:t>2.1  Sources Analysed</w:t>
      </w:r>
      <w:bookmarkStart w:id="5" w:name="_Toc000000005"/>
      <w:bookmarkEnd w:id="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Source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Nature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Volume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Period</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 Analysis</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CRM data — unstructured text (case details, resolutions, service names, case descriptions)</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49 cases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January - December 2025</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Customer Service Guide</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Covers traffic and licensing services, police services, correctional and rehabilitation institution services, operations management, proactive services, and 2 more, with FAQ verification and gap analysis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160 pages, 8 verified questions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2025</w:t>
            </w:r>
          </w:p>
        </w:tc>
      </w:tr>
    </w:tbl>
    <w:p/>
    <w:p>
      <w:pPr>
        <w:pStyle w:val="Heading2"/>
        <w:jc w:val="left"/>
      </w:pPr>
      <w:r>
        <w:rPr>
          <w:rFonts w:ascii="Calibri" w:hAnsi="Calibri" w:eastAsia="Calibri" w:cs="Calibri"/>
          <w:b/>
          <w:color w:val="B68A35"/>
          <w:sz w:val="26"/>
          <w:szCs w:val="26"/>
        </w:rPr>
        <w:t>2.2  Classification Methodology</w:t>
      </w:r>
      <w:bookmarkStart w:id="6" w:name="_Toc000000006"/>
      <w:bookmarkEnd w:id="6"/>
    </w:p>
    <w:p>
      <w:pPr>
        <w:spacing w:after="120"/>
        <w:jc w:val="both"/>
      </w:pPr>
      <w:r>
        <w:rPr>
          <w:rFonts w:ascii="Calibri" w:hAnsi="Calibri" w:eastAsia="Calibri" w:cs="Calibri"/>
          <w:b w:val="0"/>
          <w:i w:val="0"/>
          <w:color w:val="000000"/>
          <w:sz w:val="24"/>
          <w:szCs w:val="24"/>
          <w:u w:val="none"/>
        </w:rPr>
        <w:t>The analysis relies on a four-level decision tree, wherein the nature of the request — not the wording — is the decisive criterion. Each case is subjected to two sequential tests:</w:t>
      </w:r>
    </w:p>
    <w:p>
      <w:pPr>
        <w:spacing w:after="120"/>
        <w:jc w:val="both"/>
      </w:pPr>
      <w:r>
        <w:rPr>
          <w:rFonts w:ascii="Calibri" w:hAnsi="Calibri" w:eastAsia="Calibri" w:cs="Calibri"/>
          <w:b w:val="0"/>
          <w:i w:val="0"/>
          <w:color w:val="000000"/>
          <w:sz w:val="24"/>
          <w:szCs w:val="24"/>
          <w:u w:val="none"/>
        </w:rPr>
        <w:t>(1) First Test: Does the text express dissatisfaction, report a failure, or express a desire to file a formal complaint or objection?</w:t>
      </w:r>
    </w:p>
    <w:p>
      <w:pPr>
        <w:spacing w:after="120"/>
        <w:jc w:val="both"/>
      </w:pPr>
      <w:r>
        <w:rPr>
          <w:rFonts w:ascii="Calibri" w:hAnsi="Calibri" w:eastAsia="Calibri" w:cs="Calibri"/>
          <w:b w:val="0"/>
          <w:i w:val="0"/>
          <w:color w:val="000000"/>
          <w:sz w:val="24"/>
          <w:szCs w:val="24"/>
          <w:u w:val="none"/>
        </w:rPr>
        <w:t>(2) Second Test: Does the text request a specific action to be carried out, such as providing a service, following up on a request, or amending data, rather than simply obtaining information?</w:t>
      </w:r>
    </w:p>
    <w:p>
      <w:pPr>
        <w:spacing w:after="120"/>
        <w:jc w:val="both"/>
      </w:pPr>
      <w:r>
        <w:rPr>
          <w:rFonts w:ascii="Calibri" w:hAnsi="Calibri" w:eastAsia="Calibri" w:cs="Calibri"/>
          <w:b w:val="0"/>
          <w:i w:val="0"/>
          <w:color w:val="000000"/>
          <w:sz w:val="24"/>
          <w:szCs w:val="24"/>
          <w:u w:val="none"/>
        </w:rPr>
        <w:t>Classification Rules:</w:t>
      </w:r>
    </w:p>
    <w:p>
      <w:pPr>
        <w:spacing w:after="120"/>
        <w:jc w:val="both"/>
      </w:pPr>
      <w:r>
        <w:rPr>
          <w:rFonts w:ascii="Calibri" w:hAnsi="Calibri" w:eastAsia="Calibri" w:cs="Calibri"/>
          <w:b w:val="0"/>
          <w:i w:val="0"/>
          <w:color w:val="000000"/>
          <w:sz w:val="24"/>
          <w:szCs w:val="24"/>
          <w:u w:val="none"/>
        </w:rPr>
        <w:t>→ If the answer to the first is yes: Complaint (even if the text includes a request for action);</w:t>
      </w:r>
    </w:p>
    <w:p>
      <w:pPr>
        <w:spacing w:after="120"/>
        <w:jc w:val="both"/>
      </w:pPr>
      <w:r>
        <w:rPr>
          <w:rFonts w:ascii="Calibri" w:hAnsi="Calibri" w:eastAsia="Calibri" w:cs="Calibri"/>
          <w:b w:val="0"/>
          <w:i w:val="0"/>
          <w:color w:val="000000"/>
          <w:sz w:val="24"/>
          <w:szCs w:val="24"/>
          <w:u w:val="none"/>
        </w:rPr>
        <w:t>→ If the answer to the second only is yes: Request (without the purpose being to report a problem);</w:t>
      </w:r>
    </w:p>
    <w:p>
      <w:pPr>
        <w:spacing w:after="120"/>
        <w:jc w:val="both"/>
      </w:pPr>
      <w:r>
        <w:rPr>
          <w:rFonts w:ascii="Calibri" w:hAnsi="Calibri" w:eastAsia="Calibri" w:cs="Calibri"/>
          <w:b w:val="0"/>
          <w:i w:val="0"/>
          <w:color w:val="000000"/>
          <w:sz w:val="24"/>
          <w:szCs w:val="24"/>
          <w:u w:val="none"/>
        </w:rPr>
        <w:t>→ If the purpose is a question or inquiry about information: Inquiry;</w:t>
      </w:r>
    </w:p>
    <w:p>
      <w:pPr>
        <w:spacing w:after="120"/>
        <w:jc w:val="both"/>
      </w:pPr>
      <w:r>
        <w:rPr>
          <w:rFonts w:ascii="Calibri" w:hAnsi="Calibri" w:eastAsia="Calibri" w:cs="Calibri"/>
          <w:b w:val="0"/>
          <w:i w:val="0"/>
          <w:color w:val="000000"/>
          <w:sz w:val="24"/>
          <w:szCs w:val="24"/>
          <w:u w:val="none"/>
        </w:rPr>
        <w:t>→ If the expression conveys satisfaction and praise: Compliment.</w:t>
      </w:r>
    </w:p>
    <w:p>
      <w:pPr>
        <w:pStyle w:val="Heading2"/>
        <w:jc w:val="left"/>
      </w:pPr>
      <w:r>
        <w:rPr>
          <w:rFonts w:ascii="Calibri" w:hAnsi="Calibri" w:eastAsia="Calibri" w:cs="Calibri"/>
          <w:b/>
          <w:color w:val="B68A35"/>
          <w:sz w:val="26"/>
          <w:szCs w:val="26"/>
        </w:rPr>
        <w:t>2.3  Fields Analysed</w:t>
      </w:r>
      <w:bookmarkStart w:id="7" w:name="_Toc000000007"/>
      <w:bookmarkEnd w:id="7"/>
    </w:p>
    <w:p>
      <w:pPr>
        <w:spacing w:after="120"/>
        <w:jc w:val="both"/>
      </w:pPr>
      <w:r>
        <w:rPr>
          <w:rFonts w:ascii="Calibri" w:hAnsi="Calibri" w:eastAsia="Calibri" w:cs="Calibri"/>
          <w:b w:val="0"/>
          <w:i w:val="0"/>
          <w:color w:val="000000"/>
          <w:sz w:val="24"/>
          <w:szCs w:val="24"/>
          <w:u w:val="none"/>
        </w:rPr>
        <w:t>Structured fields used in the analysis: request number, main service, original call type, request status, communication channel, and responsible department. Unstructured fields — the focus of this analysis: request details and processing response. These two fields reveal the true nature of each case beyond the formal classification in the system.</w:t>
      </w:r>
    </w:p>
    <w:p>
      <w:pPr>
        <w:pStyle w:val="Heading1"/>
        <w:jc w:val="left"/>
      </w:pPr>
      <w:r>
        <w:rPr>
          <w:rFonts w:ascii="Calibri" w:hAnsi="Calibri" w:eastAsia="Calibri" w:cs="Calibri"/>
          <w:b/>
          <w:color w:val="B68A35"/>
          <w:sz w:val="32"/>
          <w:szCs w:val="32"/>
        </w:rPr>
        <w:t>Section Three: First Analysis — Contact Type Classification Map</w:t>
      </w:r>
      <w:bookmarkStart w:id="8" w:name="_Toc000000008"/>
      <w:bookmarkEnd w:id="8"/>
    </w:p>
    <w:p>
      <w:pPr>
        <w:pStyle w:val="Heading2"/>
        <w:jc w:val="left"/>
      </w:pPr>
      <w:r>
        <w:rPr>
          <w:rFonts w:ascii="Calibri" w:hAnsi="Calibri" w:eastAsia="Calibri" w:cs="Calibri"/>
          <w:b/>
          <w:color w:val="B68A35"/>
          <w:sz w:val="26"/>
          <w:szCs w:val="26"/>
        </w:rPr>
        <w:t>3.1  Actual Contact Type Distribution</w:t>
      </w:r>
      <w:bookmarkStart w:id="9" w:name="_Toc000000009"/>
      <w:bookmarkEnd w:id="9"/>
    </w:p>
    <w:p>
      <w:pPr>
        <w:spacing w:after="120"/>
        <w:jc w:val="both"/>
      </w:pPr>
      <w:r>
        <w:rPr>
          <w:rFonts w:ascii="Calibri" w:hAnsi="Calibri" w:eastAsia="Calibri" w:cs="Calibri"/>
          <w:b w:val="0"/>
          <w:i w:val="0"/>
          <w:color w:val="000000"/>
          <w:sz w:val="24"/>
          <w:szCs w:val="24"/>
          <w:u w:val="none"/>
        </w:rPr>
        <w:t>Analysis of 50 cases in January - December 2025 revealed that accurate classification of the actual content of each contact yields a picture entirely different from that reflected by the original CRM data. The in-depth analysis showed that the distribution of contact types differs fundamentally from the default classification recorded in the system. The key shift: complaints represent the most prevalent type with 30 cases constituting 60.0% of total contact, compared to the original classification that had listed all fifty cases under inquiries prior to reassessment.</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Contact Type</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Count</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Classification Change</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Digital Deflection Potential</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30</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60.0%</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+30 (was zero in the original file)</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Dedicated digital pathway — complaints portal / incident tracking in the application</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16</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32.0%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+16 (was zero in the original file)</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Requires a staff member with system access</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8.0%</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−46 from original</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Full deflection — chatbot / FAQ / IVR / website</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Compliment</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0.0%</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No change</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Automatic documentation — no action required</w:t>
            </w:r>
          </w:p>
        </w:tc>
      </w:tr>
    </w:tbl>
    <w:p/>
    <w:p>
      <w:pPr>
        <w:jc w:val="center"/>
      </w:pPr>
      <w:r>
        <w:drawing>
          <wp:inline distT="0" distB="0" distL="0" distR="0">
            <wp:extent cx="5040000" cy="3240000"/>
            <wp:effectExtent l="0" t="0" r="0" b="0"/>
            <wp:docPr id="102" name="Chart 1" descr="Chart 1"/>
            <wp:cNvGraphicFramePr>
              <a:graphicFrameLocks noChangeAspect="1"/>
            </wp:cNvGraphicFramePr>
            <a:graphic>
              <a:graphicData uri="http://schemas.openxmlformats.org/drawingml/2006/chart">
                <c:chart r:id="rId12"/>
              </a:graphicData>
            </a:graphic>
          </wp:inline>
        </w:drawing>
      </w:r>
    </w:p>
    <w:p/>
    <w:p>
      <w:pPr>
        <w:pStyle w:val="Heading2"/>
        <w:jc w:val="left"/>
      </w:pPr>
      <w:r>
        <w:rPr>
          <w:rFonts w:ascii="Calibri" w:hAnsi="Calibri" w:eastAsia="Calibri" w:cs="Calibri"/>
          <w:b/>
          <w:color w:val="B68A35"/>
          <w:sz w:val="26"/>
          <w:szCs w:val="26"/>
        </w:rPr>
        <w:t>3.2  Classification Accuracy — 92.0% of Cases Reclassified</w:t>
      </w:r>
      <w:bookmarkStart w:id="10" w:name="_Toc000000010"/>
      <w:bookmarkEnd w:id="10"/>
    </w:p>
    <w:p>
      <w:pPr>
        <w:spacing w:after="120"/>
        <w:jc w:val="both"/>
      </w:pPr>
      <w:r>
        <w:rPr>
          <w:rFonts w:ascii="Calibri" w:hAnsi="Calibri" w:eastAsia="Calibri" w:cs="Calibri"/>
          <w:b w:val="0"/>
          <w:i w:val="0"/>
          <w:color w:val="000000"/>
          <w:sz w:val="24"/>
          <w:szCs w:val="24"/>
          <w:u w:val="none"/>
        </w:rPr>
        <w:t>Critical Finding: All fifty cases (50 out of 50) were recorded in the CRM system under the label 'Inquiry'; however, re-analysis based on the actual content of each contact resulted in the reclassification of 46 cases, representing 92.0%. This does not imply a human data-entry error, as the original classification reflects the reception channel or the customer's apparent intent at the time of submission rather than the true nature of the content. The complete list of 46 cases with supporting evidence is available in the digital appendix (attached Excel file).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Request Number</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Recorded As</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Correct Classification</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Evidence from Request Details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2025287730</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 Filing a security or traffic report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"Peace be upon you, a report was submitted on 23/10/2025 with report number 2228 regarding my being assaulted at Al-Diyar School in the city centre in Fujairah, and to this day no action has been taken on the grounds that the school did not respond to them, and the report has not been completed or referred to the Public Prosecution to finalise the case."</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210724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 have not received the vehicle ownership document, and the problem is that my personal phone number is updated but contact is not being made to my phone number — contact is being made to another number, my brother's number — and I have not received the vehicle ownership document."</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211093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 Complaint about non-receipt of service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 have not received the licence to this day. I previously submitted a complaint and one of the officers from Fujairah spoke with me and told me that the transaction number I provided does not match my personal number. When contact could not be made with you, Emirates Post returned the licence to the traffic department in Fujairah, and the data was updated. Someone from Emirates Post spoke with me and said it would be delivered the next day, even though the last conversation with the Emirates Post representative was more than 10 days ago. The call was transferred to customer service and a police officer spoke with me twice, but the problem has not been resolved to this day. He spoke with Emirates Post and told me they cannot search for the parcel assigned to you, they cannot search by this number, and they sent a shipping number that cannot be tracked."</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212027</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 Objection to a traffic violation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"Peace be upon you: I comply with traffic rules and regulations. A violation was issued against me on 14/1/25 for non-compliance with traffic rules in the Thoban Industrial Area, and we do comply in this matter. There are two lanes — one for trucks and one for small vehicles — at the Thoban roundabout, and you know that the roundabout has more than one branch. Furthermore, I had my left-turn indicator activated."</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212803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 Complaint about a disputed violation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 speeding violation was issued in the city of Fujairah on 1/1/2025, even though I was not present in Fujairah on that day, and the violation image shows a licence plate number different from that of my vehicle.</w:t>
              <w:br/>
              <w:t>Violation number: 6250003094</w:t>
              <w:br/>
              <w:t>My vehicle's licence plate number: 11/72739</w:t>
              <w:br/>
              <w:t>Radar image attached."</w:t>
            </w:r>
          </w:p>
        </w:tc>
      </w:tr>
    </w:tbl>
    <w:p/>
    <w:p>
      <w:pPr>
        <w:pStyle w:val="Heading2"/>
        <w:jc w:val="left"/>
      </w:pPr>
      <w:r>
        <w:rPr>
          <w:rFonts w:ascii="Calibri" w:hAnsi="Calibri" w:eastAsia="Calibri" w:cs="Calibri"/>
          <w:b/>
          <w:color w:val="B68A35"/>
          <w:sz w:val="26"/>
          <w:szCs w:val="26"/>
        </w:rPr>
        <w:t>3.3  Complaints Breakdown (30 cases — 60.0%)</w:t>
      </w:r>
      <w:bookmarkStart w:id="11" w:name="_Toc000000011"/>
      <w:bookmarkEnd w:id="11"/>
    </w:p>
    <w:p>
      <w:pPr>
        <w:spacing w:after="120"/>
        <w:jc w:val="both"/>
      </w:pPr>
      <w:r>
        <w:rPr>
          <w:rFonts w:ascii="Calibri" w:hAnsi="Calibri" w:eastAsia="Calibri" w:cs="Calibri"/>
          <w:b w:val="0"/>
          <w:i w:val="0"/>
          <w:color w:val="000000"/>
          <w:sz w:val="24"/>
          <w:szCs w:val="24"/>
          <w:u w:val="none"/>
        </w:rPr>
        <w:t>Complaints represent the dominant hidden category revealed by the detailed analysis, and are clearly centred around the traffic and licensing system, with traffic violations, security reports, and document delivery failures accounting for the largest share: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Percentage of Complaints</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about a disputed violation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36.7%</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against whom traffic violations were recorded that they assert are erroneous, either because they were not present in the emirate at the time of recording or because the vehicle licence plate in the violation image differs from their actual vehicle.</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Filing a security or traffic report</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20.0%</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submitted official security or traffic reports to Fujairah Police and are following up on the status of their reports after time has passed without procedures being completed or referral to the competent authorities.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Objection to a traffic violation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16.7%</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formally objecting to traffic violations issued against them, citing evidence proving their compliance with traffic rules or circumstances that negate the validity of the violation.</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about non-receipt of service</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13.3%</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completed the procedures for obtaining official documents such as vehicle ownership certificates or driving licences and had not received them as of the date of contact, despite the expected timeframe having elapsed and multiple follow-up attempts.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about a technical or system error</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6.7%</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encountered data errors in electronic systems, such as an incorrectly registered phone number that impeded communication and receipt of service.</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about processing delay</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3.3%</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 customer whose request or report exceeded a reasonable processing timeframe without completion or update, who contacted the service to inquire about the reason for the delay and request closure of the transaction.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Complaint about no response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 customer who had previously contacted the competent authority and received no reply or update regarding their request, who re-established contact demanding a response and clarification of the status of their transaction.</w:t>
            </w:r>
          </w:p>
        </w:tc>
      </w:tr>
    </w:tbl>
    <w:p/>
    <w:p>
      <w:pPr>
        <w:pStyle w:val="Heading2"/>
        <w:jc w:val="left"/>
      </w:pPr>
      <w:r>
        <w:rPr>
          <w:rFonts w:ascii="Calibri" w:hAnsi="Calibri" w:eastAsia="Calibri" w:cs="Calibri"/>
          <w:b/>
          <w:color w:val="B68A35"/>
          <w:sz w:val="26"/>
          <w:szCs w:val="26"/>
        </w:rPr>
        <w:t>3.4  Service Requests and Inquiries Breakdown</w:t>
      </w:r>
      <w:bookmarkStart w:id="12" w:name="_Toc000000012"/>
      <w:bookmarkEnd w:id="12"/>
    </w:p>
    <w:p>
      <w:pPr>
        <w:spacing w:after="120"/>
        <w:jc w:val="both"/>
      </w:pPr>
      <w:r>
        <w:rPr>
          <w:rFonts w:ascii="Calibri" w:hAnsi="Calibri" w:eastAsia="Calibri" w:cs="Calibri"/>
          <w:b w:val="0"/>
          <w:i w:val="0"/>
          <w:color w:val="000000"/>
          <w:sz w:val="24"/>
          <w:szCs w:val="24"/>
          <w:u w:val="none"/>
        </w:rPr>
        <w:t>Key requests submitted (16 cases — 32.0%):</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to amend or update data</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37.5%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requesting correction of personal or vehicle data incorrectly recorded in the systems, such as updating phone numbers or rectifying ownership information to resume receipt of services.</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Follow-up on a submitted request</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25.0%</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submitted formal requests at an earlier time and contacted to enquire about the latest status of their transactions and to verify whether they had progressed to the next stage or whether procedures were complete.</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for a weapons permit or licence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12.5%</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submitted applications for weapons carry permits or related licences, with their transactions requiring the intervention of a competent staff member to verify that all requirements were met.</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General service request</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12.5%</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contacted to request various police or administrative services not falling within the specified categories, which required coordination with the competent authority to determine the service delivery pathway.</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to renew a licence or ownership document</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 customer who contacted to complete the procedures for renewing a driving licence or vehicle ownership document, requiring staff assistance to verify requirements and complete the transaction.</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for a special permit</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 customer who submitted a request for a permit for a specific purpose of an exceptional nature, requiring review by the competent authority for a decision in accordance with the delegated powers.</w:t>
            </w:r>
          </w:p>
        </w:tc>
      </w:tr>
    </w:tbl>
    <w:p/>
    <w:p>
      <w:pPr>
        <w:pStyle w:val="Heading2"/>
        <w:jc w:val="left"/>
      </w:pPr>
      <w:r>
        <w:rPr>
          <w:rFonts w:ascii="Calibri" w:hAnsi="Calibri" w:eastAsia="Calibri" w:cs="Calibri"/>
          <w:b/>
          <w:color w:val="B68A35"/>
          <w:sz w:val="26"/>
          <w:szCs w:val="26"/>
        </w:rPr>
        <w:t>3.5  Most Frequent Recurring Inquiries (4 cases — 8.0%) — highest potential for full digital self-service conversion</w:t>
      </w:r>
      <w:bookmarkStart w:id="13" w:name="_Toc000000013"/>
      <w:bookmarkEnd w:id="13"/>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Sub-category</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Count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Percentage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Description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Inquiry about licences and vehicles</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50.0%</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Customers who inquired about procedures or requirements related to driving licences or vehicle registration; their questions were clarificatory in nature and did not require operational intervention by a staff member.</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General inquiry</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50.0%</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Customers who contacted to inquire about general information concerning Fujairah Police services or communication methods; their questions are answerable immediately via self-service digital channels.</w:t>
            </w:r>
          </w:p>
        </w:tc>
      </w:tr>
    </w:tbl>
    <w:p/>
    <w:p>
      <w:pPr>
        <w:pStyle w:val="Heading1"/>
        <w:jc w:val="left"/>
      </w:pPr>
      <w:r>
        <w:rPr>
          <w:rFonts w:ascii="Calibri" w:hAnsi="Calibri" w:eastAsia="Calibri" w:cs="Calibri"/>
          <w:b/>
          <w:color w:val="B68A35"/>
          <w:sz w:val="32"/>
          <w:szCs w:val="32"/>
        </w:rPr>
        <w:t>Section Four: Second Analysis — Customer Journey Challenges</w:t>
      </w:r>
      <w:bookmarkStart w:id="14" w:name="_Toc000000014"/>
      <w:bookmarkEnd w:id="14"/>
    </w:p>
    <w:p>
      <w:pPr>
        <w:spacing w:after="120"/>
        <w:jc w:val="both"/>
      </w:pPr>
      <w:r>
        <w:rPr>
          <w:rFonts w:ascii="Calibri" w:hAnsi="Calibri" w:eastAsia="Calibri" w:cs="Calibri"/>
          <w:b w:val="0"/>
          <w:i w:val="0"/>
          <w:color w:val="000000"/>
          <w:sz w:val="24"/>
          <w:szCs w:val="24"/>
          <w:u w:val="none"/>
        </w:rPr>
        <w:t>In-depth analysis of unstructured textual data reveals 8 key friction points in the customer journey, each arising from a specific identifiable root cause that can be addressed. The most acute point is the vehicle image in the violation notice showing a different vehicle, or the customer not having been present in Fujairah, affecting 9 cases (18.0% of total). A quick improvement opportunity is identified in activating a delivery tracking SMS notification as soon as a vehicle ownership document or driving licence is printed and dispatched, addressing 4 cases (8.0% of total) with limited technical intervention and an immediate impact on customer experience:</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Friction Point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Cases</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Improvement Action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Vehicle image in the violation notice shows a different vehicle, or the customer was not present in Fujairah</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9</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Technical platform malfunction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Review the radar plate-matching system and fix the malfunction, provide a digital objection channel with evidence attachment, and add a guide for recovering erroneously paid fines.</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Customer unable to self-update their personal data via the application</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Information exists but is difficult to access</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Publish a step-by-step illustrated guide for self-updating personal data in the MOI application, and investigate and immediately resolve any technical barriers.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a digital channel for contesting traffic violations, forcing the customer to contact support</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Information exists but is difficult to access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Develop a comprehensive digital objection pathway via the MOI application and website enabling customers to submit objections with documents without personal attendance, available around the clock.</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No delivery tracking link sent for vehicle ownership document or licence after printing</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an automatic SMS notification containing an Emirates Post tracking link as soon as the ownership card or licence is printed, and add a self-tracking screen in the MOI application.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Unclear status of submitted request — no automatic notification sent with status update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automatic push and SMS notifications at each processing stage, and add a 'My Requests' screen in the MOI application for real-time status tracking with defined target service timeframes.</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Duplicate fee deduction or failure to register despite meeting requirements due to a system malfunction</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Technical platform malfunction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Create an electronic form for duplicate fee recovery via the MOI application, implement automatic rollback logic for failed or duplicate transactions, and provide a real-time system status page.</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Weapons licence request remaining pending without notification of status or the competent authority</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complete service card for weapons licensing in the guide with automatic SMS notifications activated at each stage, and assign a reference number and a dedicated case officer to each request.</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Unclear steps for selecting plate type and payment in the MOI application, leading to incorrect procedures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Information missing from the guide</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Create an illustrated guide with screenshots for the plate type selection pathway, and add a contextual tooltip within the application and a proactive confirmation displaying the selected plate type before the charge is processed.</w:t>
            </w:r>
          </w:p>
        </w:tc>
      </w:tr>
    </w:tbl>
    <w:p/>
    <w:p>
      <w:pPr>
        <w:pStyle w:val="Heading1"/>
        <w:jc w:val="left"/>
      </w:pPr>
      <w:r>
        <w:rPr>
          <w:rFonts w:ascii="Calibri" w:hAnsi="Calibri" w:eastAsia="Calibri" w:cs="Calibri"/>
          <w:b/>
          <w:color w:val="B68A35"/>
          <w:sz w:val="32"/>
          <w:szCs w:val="32"/>
        </w:rPr>
        <w:t>Section Five: Third Analysis — Digital Gap Analysis</w:t>
      </w:r>
      <w:bookmarkStart w:id="15" w:name="_Toc000000015"/>
      <w:bookmarkEnd w:id="15"/>
    </w:p>
    <w:p>
      <w:pPr>
        <w:spacing w:after="120"/>
        <w:jc w:val="both"/>
      </w:pPr>
      <w:r>
        <w:rPr>
          <w:rFonts w:ascii="Calibri" w:hAnsi="Calibri" w:eastAsia="Calibri" w:cs="Calibri"/>
          <w:b w:val="0"/>
          <w:i w:val="0"/>
          <w:color w:val="000000"/>
          <w:sz w:val="24"/>
          <w:szCs w:val="24"/>
          <w:u w:val="none"/>
        </w:rPr>
        <w:t>Why do problems persist despite the availability of the application and website? Although 94.0% of cases were submitted via digital channels (application/website), and 100.0% of cases originated in a digital context (application/website), the problem is not the absence of digital channels but the absence of the right functions within those channels. Five critical gaps and 3 high-severity gaps were identified, most notably the 'erroneous traffic violation — vehicle image in the violation notice shows a different vehicle or the customer was not present in Fujairah' gap with 11 cases, in addition to the potential to deflect 10 cases (20.0% of total) via proactive SMS/email notifications without any infrastructure change.</w:t>
      </w:r>
    </w:p>
    <w:p>
      <w:pPr>
        <w:pStyle w:val="Heading2"/>
        <w:jc w:val="left"/>
      </w:pPr>
      <w:r>
        <w:rPr>
          <w:rFonts w:ascii="Calibri" w:hAnsi="Calibri" w:eastAsia="Calibri" w:cs="Calibri"/>
          <w:b/>
          <w:color w:val="B68A35"/>
          <w:sz w:val="26"/>
          <w:szCs w:val="26"/>
        </w:rPr>
        <w:t>5.1  Consolidated Gaps Table</w:t>
      </w:r>
      <w:bookmarkStart w:id="16" w:name="_Toc000000016"/>
      <w:bookmarkEnd w:id="16"/>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Topic</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Cases</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Severity</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Current Application / Website Status</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Gap Type</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Recommendation</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Erroneous traffic violation — vehicle image in the violation notice shows a different vehicle or the customer was not present in Fujairah</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11</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 traffic violation objection service is available but is limited to in-person service centres only; there is no digital channel for submitting an objection with evidence, and there is no guidance on the scenario of the vehicle image discrepancy.</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Missing content + in-person submission channel only</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digital objection channel with evidence attachment, fix the radar plate-matching system, and include a step-by-step guide in the FAQ.</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Customer data update — customer unable to self-update personal data via the application</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MOI application allows electronic amendment of driving licence and ownership card data; however, self-updating personal data such as phone number and address lacks a clear illustrated guide, causing confusion for the customer.</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Unclear information + unclear process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Publish a step-by-step illustrated guide for updating personal data in the MOI application, and clearly distinguish between the pathways for updating driving licence, ownership, and personal account data.</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Objection to traffic violation — absence of a digital channel for contesting traffic violations, forcing the customer to contact support</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traffic violation objection service is available at service centres only with limited working hours (07:30–15:30); there is no digital pathway via the application or website for submitting an objection with documents.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Digitally unavailable submission channel</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Develop a digital objection pathway via the MOI application and website enabling customers to submit objections with documents without personal attendance, available around the clock.</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Non-receipt of official documents — no delivery tracking link sent for vehicle ownership document or licence after printing</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guidance manual contains no text regarding sending a delivery tracking link for vehicle ownership documents or licences after printing, and there is no self-tracking screen in the MOI application.</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proactive notification</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an automatic SMS/email notification containing a tracking link as soon as the document is printed, and create a self-tracking screen in the MOI application with a dedicated guidance section.</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Follow-up on submitted requests — unclear status of submitted request, no automatic notification sent with status update</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Critical</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guidance manual contains no mechanism for notifying customers of updates to their request status, and the MOI platform lacks a central screen for tracking request processing stages.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proactive status notification</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automatic notifications (SMS/push) at each processing stage, and add a 'My Requests' screen in the MOI application for real-time status tracking.</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Technical malfunctions in the payment and registration system — duplicate fee deduction or failure to register despite meeting requirements due to a system malfunction</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 traffic fine refund service is available but is limited to fines only, excluding registration fees; there is no section in the guide addressing duplicate fee recovery procedures or system malfunction.</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Missing content + platform malfunction</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Add a section in the guide for duplicate deduction cases with a clear escalation pathway, create an electronic form for fee recovery, and implement an automatic rollback mechanism for failed transactions.</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Pending weapons licence requests — weapons licence request remaining pending without notification of status or the competent authority</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There is no mention of a weapons licensing service in the guidance manual, and no service card or digital pathway exists for tracking the request or communicating with the competent authority.</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Missing content + absence of proactive notification</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stage of the weapons licence application, and add a complete service card in the guide covering required documents, the competent authority, and the processing timeframe.</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Errors in vehicle payment and registration procedures — unclear steps for selecting plate type and payment in the MOI application, leading to incorrect procedures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High</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guide includes a plate fee schedule without screenshots or an illustrated guide, and the application steps lack contextual tooltips explaining the difference between plate types and their fees at the point of selection.</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Incomplete information + unclear process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Create a step-by-step illustrated guide for the vehicle registration and plate selection pathway in the MOI application, and add a contextual tooltip at the selection step and a proactive confirmation before payment.</w:t>
            </w:r>
          </w:p>
        </w:tc>
      </w:tr>
    </w:tbl>
    <w:p/>
    <w:p>
      <w:pPr>
        <w:pStyle w:val="Heading2"/>
        <w:jc w:val="left"/>
      </w:pPr>
      <w:r>
        <w:rPr>
          <w:rFonts w:ascii="Calibri" w:hAnsi="Calibri" w:eastAsia="Calibri" w:cs="Calibri"/>
          <w:b/>
          <w:color w:val="B68A35"/>
          <w:sz w:val="26"/>
          <w:szCs w:val="26"/>
        </w:rPr>
        <w:t>5.2  Root Causes of Continued Issues</w:t>
      </w:r>
      <w:bookmarkStart w:id="17" w:name="_Toc000000017"/>
      <w:bookmarkEnd w:id="17"/>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Root Cause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Example Challenge</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Solution</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an organised technical reporting mechanism</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11 cases — vehicle image in the violation notice shows a different vehicle or the customer was not present in Fujairah</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Establish a unified digital reporting form for violation errors with a clear escalation pathway and fix the radar plate-matching system.</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Limited awareness of available digital channels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11 cases — customer unable to self-update personal data via the application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Publish step-by-step illustrated guides within the MOI application for each digital service pathway, along with updated FAQs.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Weak proactive notification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10 cases — unclear status of submitted request, no automatic notification sent with status update</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Activate automatic SMS/email notifications at each request processing stage and add a central tracking screen in the application.</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Absence of a dedicated digital pathway</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 cases — unclear steps for selecting plate type and payment in the MOI application, leading to incorrect procedures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Develop dedicated digital pathways with contextual tooltips and proactive confirmation for each payment and registration step.</w:t>
            </w:r>
          </w:p>
        </w:tc>
      </w:tr>
    </w:tbl>
    <w:p/>
    <w:p>
      <w:pPr>
        <w:pStyle w:val="Heading1"/>
        <w:jc w:val="left"/>
      </w:pPr>
      <w:r>
        <w:rPr>
          <w:rFonts w:ascii="Calibri" w:hAnsi="Calibri" w:eastAsia="Calibri" w:cs="Calibri"/>
          <w:b/>
          <w:color w:val="B68A35"/>
          <w:sz w:val="32"/>
          <w:szCs w:val="32"/>
        </w:rPr>
        <w:t>Section Six: Fourth Analysis — Digital Transformation Plan</w:t>
      </w:r>
      <w:bookmarkStart w:id="18" w:name="_Toc000000018"/>
      <w:bookmarkEnd w:id="18"/>
    </w:p>
    <w:p>
      <w:pPr>
        <w:spacing w:after="120"/>
        <w:jc w:val="both"/>
      </w:pPr>
      <w:r>
        <w:rPr>
          <w:rFonts w:ascii="Calibri" w:hAnsi="Calibri" w:eastAsia="Calibri" w:cs="Calibri"/>
          <w:b w:val="0"/>
          <w:i w:val="0"/>
          <w:color w:val="000000"/>
          <w:sz w:val="24"/>
          <w:szCs w:val="24"/>
          <w:u w:val="none"/>
        </w:rPr>
        <w:t>This section presents the digital transformation plan built on seven priority FAQs, extracted from the most recurring patterns in the textual data for the period January to December 2025, alongside a proposed proactive notification pathway. The data shows that more than 10 cases, representing 20.0% of the total 50 cases, can be fully eliminated through a simple automated notification system without the need for any structural change.</w:t>
      </w:r>
    </w:p>
    <w:p>
      <w:pPr>
        <w:pStyle w:val="Heading2"/>
        <w:jc w:val="left"/>
      </w:pPr>
      <w:r>
        <w:rPr>
          <w:rFonts w:ascii="Calibri" w:hAnsi="Calibri" w:eastAsia="Calibri" w:cs="Calibri"/>
          <w:b/>
          <w:color w:val="B68A35"/>
          <w:sz w:val="26"/>
          <w:szCs w:val="26"/>
        </w:rPr>
        <w:t>6.1  Priority Frequently Asked Questions</w:t>
      </w:r>
      <w:bookmarkStart w:id="19" w:name="_Toc000000019"/>
      <w:bookmarkEnd w:id="19"/>
    </w:p>
    <w:p>
      <w:pPr>
        <w:spacing w:after="120"/>
        <w:jc w:val="both"/>
      </w:pPr>
      <w:r>
        <w:rPr>
          <w:rFonts w:ascii="Calibri" w:hAnsi="Calibri" w:eastAsia="Calibri" w:cs="Calibri"/>
          <w:b w:val="0"/>
          <w:i w:val="0"/>
          <w:color w:val="000000"/>
          <w:sz w:val="24"/>
          <w:szCs w:val="24"/>
          <w:u w:val="none"/>
        </w:rPr>
        <w:t>These questions are extracted from the most recurring patterns in the textual data.</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Question</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Proposed Answer</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Frequency</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How do I verify that a traffic violation sent to me is actually registered against my vehicle in Fujairah?</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Open the MOI application, select the traffic violations enquiry service, and enter your vehicle licence plate number. If the violation does not appear in the system, or if the vehicle image in the notification does not match your vehicle, contact Fujairah Police directly to conduct a verification and correct the record.</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9</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How do I update my phone number, personal data, and vehicle data in the traffic system?</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To update identity data: open the MOI application and navigate to Personal Account Management. To update the phone number in the traffic system: visit the competent service centre, as staff intervention is required. If there is an error in your name in English, first contact the General Directorate of Nationality and Identity to have it corrected.</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6</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Can I contest a traffic violation online without attending in person?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Currently, a full digital objection service is not available; please visit Fujairah Police Traffic Department or Masafi Comprehensive Centre in person with ownership documents and your Emirates ID. If the violation is confirmed valid and you wish to request a fine reduction, submit a formal written request to the department.</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5</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 completed payment but have not received my vehicle ownership document or driving licence — what should I do?</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First, verify the accuracy of your delivery address and registered phone number via the MOI application, as delivery may be held up due to an outdated profile photo. If the data is correct and you have not received the document, contact Fujairah Police quoting the transaction number to request reprinting and redelivery via Emirates Post.</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4</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How do I track the status of a driving licence renewal or vehicle ownership application I submitted?</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Open the MOI application and select 'My Requests' to view the latest update on your request status. If the status has not changed for a long time, contact Fujairah Police quoting the transaction number to verify whether there are any pending requirements, such as an updated profile photo or missing documents.</w:t>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4</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 submitted a weapons licence application a long time ago and it is still pending — what is the procedure?</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Weapons licence applications are referred to the Weapons and Explosives Directorate at the Ministry of Interior, which is the sole authority competent to decide on them. Contact Fujairah Police quoting your application number and submission date to request coordination with the relevant authority and formally follow up on the status of your application.</w:t>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2</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7</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 paid fees for the wrong vehicle plate type — can the amount be refunded?</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 accordance with the applicable procedure, the customer bears responsibility for an incorrect selection because the MOI application clearly displays plate types, selection steps, and payment details before final confirmation. It is recommended to visit the service centre to enquire about the possibility of a refund at the discretion of the competent staff member.</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r>
    </w:tbl>
    <w:p/>
    <w:p>
      <w:pPr>
        <w:pStyle w:val="Heading2"/>
        <w:jc w:val="left"/>
      </w:pPr>
      <w:r>
        <w:rPr>
          <w:rFonts w:ascii="Calibri" w:hAnsi="Calibri" w:eastAsia="Calibri" w:cs="Calibri"/>
          <w:b/>
          <w:color w:val="B68A35"/>
          <w:sz w:val="26"/>
          <w:szCs w:val="26"/>
        </w:rPr>
        <w:t>6.2  Pathway to Eliminating 10+ Contact Cases via Proactive Notification</w:t>
      </w:r>
      <w:bookmarkStart w:id="20" w:name="_Toc000000020"/>
      <w:bookmarkEnd w:id="20"/>
    </w:p>
    <w:p>
      <w:pPr>
        <w:spacing w:after="120"/>
        <w:jc w:val="both"/>
      </w:pPr>
      <w:r>
        <w:rPr>
          <w:rFonts w:ascii="Calibri" w:hAnsi="Calibri" w:eastAsia="Calibri" w:cs="Calibri"/>
          <w:b w:val="0"/>
          <w:i w:val="0"/>
          <w:color w:val="000000"/>
          <w:sz w:val="24"/>
          <w:szCs w:val="24"/>
          <w:u w:val="none"/>
        </w:rPr>
        <w:t>Data analysis reveals that 10+ contact cases (20% of total) could have been fully eliminated with a simple notification system — without any structural change to systems or procedures:</w:t>
      </w:r>
    </w:p>
    <w:tbl>
      <w:tblPr>
        <w:tblStyle w:val="TableGrid"/>
        <w:tblW w:type="auto" w:w="0"/>
        <w:tblLook w:firstColumn="1" w:firstRow="1" w:lastColumn="0" w:lastRow="0" w:noHBand="0" w:noVBand="1" w:val="04A0"/>
        <w:tblLayout w:type="fixed"/>
      </w:tblPr>
      <w:tblGrid>
        <w:gridCol w:w="1872"/>
        <w:gridCol w:w="1872"/>
        <w:gridCol w:w="1872"/>
        <w:gridCol w:w="1872"/>
        <w:gridCol w:w="1872"/>
      </w:tblGrid>
      <w:tr>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Notification Type</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Cases Eliminated</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Notification Content (Example)</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Channel</w:t>
            </w:r>
          </w:p>
        </w:tc>
        <w:tc>
          <w:tcPr>
            <w:tcW w:type="dxa" w:w="1872"/>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Expected Impact</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Delivery tracking notification</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 cases</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"Fujairah Police: Your document [X] has been printed and is on its way to you via Emirates Post. Track your shipment with number: [X]. For enquiries call [X]."</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SMS</w:t>
            </w:r>
          </w:p>
        </w:tc>
        <w:tc>
          <w:tcPr>
            <w:tcW w:type="dxa" w:w="1872"/>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Elimination of 4 delivery enquiry cases and complete reduction of related calls.</w:t>
            </w:r>
          </w:p>
        </w:tc>
      </w:tr>
      <w:tr>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status update notification</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 cases</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"Fujairah Police: Your request number [X] has moved to stage [X]. You can track your request details via the MOI application under 'My Requests'."</w:t>
            </w:r>
          </w:p>
        </w:tc>
        <w:tc>
          <w:tcPr>
            <w:tcW w:type="dxa" w:w="1872"/>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SMS</w:t>
            </w:r>
          </w:p>
        </w:tc>
        <w:tc>
          <w:tcPr>
            <w:tcW w:type="dxa" w:w="1872"/>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Elimination of 4 request status enquiry cases and improved customer experience without human intervention.</w:t>
            </w:r>
          </w:p>
        </w:tc>
      </w:tr>
      <w:tr>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Weapons licence status notification</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 cases</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"Fujairah Police: Your weapons licence application number [X] has been received and is under review by the Ministry of Interior. You will be notified of the outcome as soon as it is issued."</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SMS</w:t>
            </w:r>
          </w:p>
        </w:tc>
        <w:tc>
          <w:tcPr>
            <w:tcW w:type="dxa" w:w="1872"/>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Elimination of 2 weapons licence enquiry cases and reduced pressure on customer service staff.</w:t>
            </w:r>
          </w:p>
        </w:tc>
      </w:tr>
    </w:tbl>
    <w:p/>
    <w:p>
      <w:pPr>
        <w:pStyle w:val="Heading1"/>
        <w:jc w:val="left"/>
      </w:pPr>
      <w:r>
        <w:rPr>
          <w:rFonts w:ascii="Calibri" w:hAnsi="Calibri" w:eastAsia="Calibri" w:cs="Calibri"/>
          <w:b/>
          <w:color w:val="B68A35"/>
          <w:sz w:val="32"/>
          <w:szCs w:val="32"/>
        </w:rPr>
        <w:t>Section Seven: AI-Powered Use Cases</w:t>
      </w:r>
      <w:bookmarkStart w:id="21" w:name="_Toc000000021"/>
      <w:bookmarkEnd w:id="21"/>
    </w:p>
    <w:p>
      <w:pPr>
        <w:spacing w:after="120"/>
        <w:jc w:val="both"/>
      </w:pPr>
      <w:r>
        <w:rPr>
          <w:rFonts w:ascii="Calibri" w:hAnsi="Calibri" w:eastAsia="Calibri" w:cs="Calibri"/>
          <w:b w:val="0"/>
          <w:i w:val="0"/>
          <w:color w:val="000000"/>
          <w:sz w:val="24"/>
          <w:szCs w:val="24"/>
          <w:u w:val="none"/>
        </w:rPr>
        <w:t>The opportunities identified in January - December 2025 integrate with artificial intelligence capabilities to form an intelligent self-service system capable of processing more than 92.0% of current contact volume without human intervention at the classification stage. Based on the total of 50 cases observed during the same period, four integrated AI tools are presented that address key friction points at their sources before they reach complaint channels.</w:t>
      </w:r>
    </w:p>
    <w:p>
      <w:pPr>
        <w:spacing w:after="120"/>
        <w:jc w:val="both"/>
      </w:pPr>
      <w:r>
        <w:rPr>
          <w:rFonts w:ascii="Calibri" w:hAnsi="Calibri" w:eastAsia="Calibri" w:cs="Calibri"/>
          <w:b w:val="0"/>
          <w:i w:val="0"/>
          <w:color w:val="000000"/>
          <w:sz w:val="24"/>
          <w:szCs w:val="24"/>
          <w:u w:val="none"/>
        </w:rPr>
        <w:t>Key Note: Training data is now ready — a total of 50 manually classified and labelled cases covering the period from January to December 2025 are available, which allows immediate commencement of training the automated classifier model without the need for any additional data collection.</w:t>
      </w:r>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Tool</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Function</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Expected Impact on January - December 2025 Data</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Implementation Assessment</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Visual Verification System for Traffic Violation Images</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system is activated at the moment a violation image is captured, using a Computer Vision model to match the vehicle's colour and make visible in the image against the officially registered vehicle data in the database. The system detects any discrepancy between the photographed licence plate and the actual vehicle record, and issues an immediate alert to the competent authority to review the violation before it is sent to the customer.</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High — 9+ months (requires access to a real-time feed from violation cameras)</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Intelligent Case Router Between Government Entities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When any new case is registered in the CRM, the model analyses the request text using text classification supported by an authority jurisdiction database, to automatically identify the correct competent authority — whether Fujairah Police, RTA, Municipality, or others. The system issues immediate guidance to the customer via the appropriate channel, eliminating the need for manual redirection and reducing inter-agency transfer loops.</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Medium — 3-4 months (requires a documented jurisdiction map for all entities)</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Automated Document Quality and Application Completeness Checker</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system operates at the document upload stage before submission of the application is finalised, using OCR technologies and image quality inspection to verify the clarity of the profile photo, validity of the inspection certificate, completeness of mandatory fields, and identity number match. Upon detecting any deficiency or discrepancy, the system immediately guides the customer to the required correction before the application is submitted, thereby preventing the case from being registered in the CRM in the first place.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Medium — 3-4 months (OCR model and document verification standards are commercially available)</w:t>
            </w:r>
          </w:p>
        </w:tc>
      </w:tr>
      <w:tr>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Geographic Friction Radar with Heat Map</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The system automatically extracts geographic entities from complaint and suggestion texts stored in the CRM using NER technology, then renders a heat map displaying the distribution of cases by referenced geographic location. The system identifies areas with disproportionate density and recurring intersections, and produces visual reports supporting infrastructure priority decisions and patrol allocation.</w:t>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r>
          </w:p>
        </w:tc>
        <w:tc>
          <w:tcPr>
            <w:tcW w:type="dxa" w:w="234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Low–Medium — 2-3 months (location data extracted from existing CRM texts)</w:t>
            </w:r>
          </w:p>
        </w:tc>
      </w:tr>
    </w:tbl>
    <w:p/>
    <w:p>
      <w:pPr>
        <w:pStyle w:val="Heading1"/>
        <w:jc w:val="left"/>
      </w:pPr>
      <w:r>
        <w:rPr>
          <w:rFonts w:ascii="Calibri" w:hAnsi="Calibri" w:eastAsia="Calibri" w:cs="Calibri"/>
          <w:b/>
          <w:color w:val="B68A35"/>
          <w:sz w:val="32"/>
          <w:szCs w:val="32"/>
        </w:rPr>
        <w:t>Section Eight: Proposed Improvement Roadmap</w:t>
      </w:r>
      <w:bookmarkStart w:id="22" w:name="_Toc000000022"/>
      <w:bookmarkEnd w:id="22"/>
    </w:p>
    <w:p>
      <w:pPr>
        <w:spacing w:after="120"/>
        <w:jc w:val="both"/>
      </w:pPr>
      <w:r>
        <w:rPr>
          <w:rFonts w:ascii="Calibri" w:hAnsi="Calibri" w:eastAsia="Calibri" w:cs="Calibri"/>
          <w:b w:val="0"/>
          <w:i w:val="0"/>
          <w:color w:val="000000"/>
          <w:sz w:val="24"/>
          <w:szCs w:val="24"/>
          <w:u w:val="none"/>
        </w:rPr>
        <w:t>This roadmap consolidates the recommendations of the four analyses into a graduated priority framework based on the January - December 2025 data of 50 cases, with the aim of converting findings into measurable operational actions. All eight items are derived from actual case analysis without recourse to generic recommendations, and are ranked in descending order according to the criteria of expected impact and ease of implementation.</w:t>
      </w:r>
    </w:p>
    <w:tbl>
      <w:tblPr>
        <w:tblStyle w:val="TableGrid"/>
        <w:tblW w:type="auto" w:w="0"/>
        <w:tblLook w:firstColumn="1" w:firstRow="1" w:lastColumn="0" w:lastRow="0" w:noHBand="0" w:noVBand="1" w:val="04A0"/>
        <w:tblLayout w:type="fixed"/>
      </w:tblPr>
      <w:tblGrid>
        <w:gridCol w:w="1560"/>
        <w:gridCol w:w="1560"/>
        <w:gridCol w:w="1560"/>
        <w:gridCol w:w="1560"/>
        <w:gridCol w:w="1560"/>
        <w:gridCol w:w="1560"/>
      </w:tblGrid>
      <w:tr>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Time Horizon</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Recommendation</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Source</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Expected Impact</w:t>
            </w:r>
          </w:p>
        </w:tc>
        <w:tc>
          <w:tcPr>
            <w:tcW w:type="dxa" w:w="156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Effort</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1</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Activate an automatic SMS message containing an Emirates Post tracking link, sent as soon as a vehicle ownership document or driving licence is printed and handed over to the delivery system.</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Elimination of 4+ enquiry cases about the location of a printed document before it reaches the recipient.</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2</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Link the CRM system to an SMS platform to send an automatic notification upon every change in the status of a renewal or registration request, with explicit reference to any pending requirement such as a profile photo update.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Elimination of 4+ cases resulting from the absence of automatic request status updates.</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3</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Activate an SMS and email notification with a tracking link upon printing, and add a 'What happens after your document is printed?' section in the MOI application with a self-tracking screen and a dedicated FAQ.</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Addressing 4+ cases related to non-receipt of official documents and the absence of a tracking link after printing.</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4</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Launch push and SMS notifications at each processing stage (Received ← Under Review ← Approved/Rejected ← Ready), and add a 'My Requests' screen in the MOI application with documented SLA timeframes for each request type.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Addressing 4+ cases arising from ambiguity in the status of a submitted request and the absence of automatic notification.</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5</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Address the failure point in the customer journey by adding a dedicated notification step in the electronic portal that is automatically triggered when a vehicle ownership document or licence is dispatched for delivery after printing.</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Reduction of 4+ contact cases related to the absence of a delivery tracking link in the post-printing stage.</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Immediate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6</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Bridge the gap in the request follow-up journey by designing a clear notification flow within the MOI application that reflects the real-time status of the request, alongside publishing a concise visual guide explaining the processing stages to the customer.</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Analysis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Reduction of 4+ cases resulting from unclear status of the submitted request and the absence of automatic notification.</w:t>
            </w:r>
          </w:p>
        </w:tc>
        <w:tc>
          <w:tcPr>
            <w:tcW w:type="dxa" w:w="156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Short-Term</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7</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Build a heat map dashboard that aggregates geographic case data from the CRM to identify recurring friction areas, and convert its outputs into a quarterly report supporting infrastructure investment decisions.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Converting random geographic proposals into investment decisions built on actual case density.</w:t>
            </w:r>
          </w:p>
        </w:tc>
        <w:tc>
          <w:tcPr>
            <w:tcW w:type="dxa" w:w="156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Low</w:t>
            </w:r>
          </w:p>
        </w:tc>
      </w:tr>
      <w:tr>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 Medium-Term</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8</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Develop an intelligent routing engine integrated into the enquiry portal that automatically classifies the case and refers it to the competent government authority (Fujairah Police, RTA, or others) without human intervention at the triage stage.</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Both sources</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Cutting the incorrect inter-agency routing cycle and reducing resolution time through real-time referral to the competent authority.</w:t>
            </w:r>
          </w:p>
        </w:tc>
        <w:tc>
          <w:tcPr>
            <w:tcW w:type="dxa" w:w="156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Medium</w:t>
            </w:r>
          </w:p>
        </w:tc>
      </w:tr>
    </w:tbl>
    <w:p/>
    <w:p>
      <w:pPr>
        <w:pStyle w:val="Heading1"/>
        <w:jc w:val="left"/>
      </w:pPr>
      <w:r>
        <w:rPr>
          <w:rFonts w:ascii="Calibri" w:hAnsi="Calibri" w:eastAsia="Calibri" w:cs="Calibri"/>
          <w:b/>
          <w:color w:val="B68A35"/>
          <w:sz w:val="32"/>
          <w:szCs w:val="32"/>
        </w:rPr>
        <w:t>Section Nine: Conclusion — From Data to Decision</w:t>
      </w:r>
      <w:bookmarkStart w:id="23" w:name="_Toc000000023"/>
      <w:bookmarkEnd w:id="23"/>
    </w:p>
    <w:p>
      <w:pPr>
        <w:spacing w:after="120"/>
        <w:jc w:val="both"/>
      </w:pPr>
      <w:r>
        <w:rPr>
          <w:rFonts w:ascii="Calibri" w:hAnsi="Calibri" w:eastAsia="Calibri" w:cs="Calibri"/>
          <w:b w:val="0"/>
          <w:i w:val="0"/>
          <w:color w:val="000000"/>
          <w:sz w:val="24"/>
          <w:szCs w:val="24"/>
          <w:u w:val="none"/>
        </w:rPr>
        <w:t>Final Message: The fact that 94.0% of cases arrived via digital channels (application and website) combined with a service level compliance rate of 98.0% demonstrates the achievement of operational excellence in the submission channel, while the finding that 100.0% of friction cases are linked to a digital service context — whether application malfunctions, electronic licence renewal, or digital payment — reveals that the gap lies not in customer access but in the service functions themselves. The reclassification of 46 cases at a rate of 92.0% is conclusive evidence that the core problem resides in the absence of service functions rather than a shortage of communication channels, which is clearly manifested in 'erroneous traffic violation' topping the list with 9 cases out of the total cases analysed. The analyses presented in this report demonstrate that the correct path to a solution rests on three pillars: bridging the 5 critical functional gaps, activating the proactive notification system capable of eliminating more than 10 cases without any human intervention, and correcting operational data quality — not on expanding resources.</w:t>
      </w:r>
    </w:p>
    <w:p>
      <w:pPr>
        <w:pStyle w:val="Heading2"/>
        <w:jc w:val="left"/>
      </w:pPr>
      <w:r>
        <w:rPr>
          <w:rFonts w:ascii="Calibri" w:hAnsi="Calibri" w:eastAsia="Calibri" w:cs="Calibri"/>
          <w:b/>
          <w:color w:val="B68A35"/>
          <w:sz w:val="26"/>
          <w:szCs w:val="26"/>
        </w:rPr>
        <w:t>Three Transformation Pillars</w:t>
      </w:r>
      <w:bookmarkStart w:id="24" w:name="_Toc000000024"/>
      <w:bookmarkEnd w:id="24"/>
    </w:p>
    <w:tbl>
      <w:tblPr>
        <w:tblStyle w:val="TableGrid"/>
        <w:tblW w:type="auto" w:w="0"/>
        <w:tblLook w:firstColumn="1" w:firstRow="1" w:lastColumn="0" w:lastRow="0" w:noHBand="0" w:noVBand="1" w:val="04A0"/>
        <w:tblLayout w:type="fixed"/>
      </w:tblPr>
      <w:tblGrid>
        <w:gridCol w:w="3120"/>
        <w:gridCol w:w="3120"/>
        <w:gridCol w:w="3120"/>
      </w:tblGrid>
      <w:tr>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Pillar One: Accuracy</w:t>
            </w:r>
          </w:p>
        </w:tc>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Pillar Two: Accessibility</w:t>
            </w:r>
          </w:p>
        </w:tc>
        <w:tc>
          <w:tcPr>
            <w:tcW w:type="dxa" w:w="312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Pillar Three: Intelligence</w:t>
            </w:r>
          </w:p>
        </w:tc>
      </w:tr>
      <w:tr>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Improving the accuracy of request classifications</w:t>
            </w:r>
          </w:p>
        </w:tc>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Unified and comprehensive FAQ</w:t>
            </w:r>
          </w:p>
        </w:tc>
        <w:tc>
          <w:tcPr>
            <w:tcW w:type="dxa" w:w="312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Visual Verification System for Traffic Violation Images</w:t>
            </w:r>
          </w:p>
        </w:tc>
      </w:tr>
      <w:tr>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Adding root cause and processing time fields to request resolution</w:t>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Delivery tracking notification</w:t>
            </w:r>
          </w:p>
        </w:tc>
        <w:tc>
          <w:tcPr>
            <w:tcW w:type="dxa" w:w="3120"/>
            <w:shd w:val="clear" w:color="auto" w:fill="D9D9D9"/>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Intelligent Case Router Between Government Entities</w:t>
            </w:r>
          </w:p>
        </w:tc>
      </w:tr>
      <w:tr>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Restructuring service classification and eliminating 'Other'</w:t>
            </w:r>
          </w:p>
        </w:tc>
        <w:tc>
          <w:tcPr>
            <w:tcW w:type="dxa" w:w="312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Request status update notification</w:t>
            </w:r>
          </w:p>
        </w:tc>
        <w:tc>
          <w:tcPr>
            <w:tcW w:type="dxa" w:w="3120"/>
            <w:shd w:val="clear" w:color="auto" w:fill="FFFFFF"/>
            <w:tcMar>
              <w:top w:w="60" w:type="dxa"/>
              <w:bottom w:w="60" w:type="dxa"/>
              <w:left w:w="108" w:type="dxa"/>
              <w:right w:w="108" w:type="dxa"/>
            </w:tcMar>
            <w:tcBorders>
              <w:top w:val="single" w:sz="4" w:space="0" w:color="CCCCCC"/>
              <w:bottom w:val="single" w:sz="4" w:space="0" w:color="CCCCCC"/>
              <w:left w:val="single" w:sz="4" w:space="0" w:color="CCCCCC"/>
              <w:right w:val="single" w:sz="4" w:space="0" w:color="CCCCCC"/>
            </w:tcBorders>
          </w:tcPr>
          <w:p>
            <w:pPr>
              <w:spacing w:before="60" w:after="60"/>
              <w:jc w:val="left"/>
            </w:pPr>
            <w:r>
              <w:rPr>
                <w:rFonts w:ascii="Calibri" w:hAnsi="Calibri" w:eastAsia="Calibri" w:cs="Calibri"/>
                <w:b w:val="0"/>
                <w:color w:val="000000"/>
                <w:sz w:val="20"/>
                <w:szCs w:val="20"/>
              </w:rPr>
              <w:t>Automated Document Quality and Application Completeness Checker</w:t>
            </w:r>
          </w:p>
        </w:tc>
      </w:tr>
      <w:tr>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Weapons licence status notification</w:t>
            </w:r>
          </w:p>
        </w:tc>
        <w:tc>
          <w:tcPr>
            <w:tcW w:type="dxa" w:w="3120"/>
            <w:shd w:val="clear" w:color="auto" w:fill="D9D9D9"/>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Geographic Friction Radar with Heat Map</w:t>
            </w:r>
          </w:p>
        </w:tc>
      </w:tr>
    </w:tbl>
    <w:p/>
    <w:p>
      <w:pPr>
        <w:pStyle w:val="Heading2"/>
        <w:jc w:val="left"/>
      </w:pPr>
      <w:r>
        <w:rPr>
          <w:rFonts w:ascii="Calibri" w:hAnsi="Calibri" w:eastAsia="Calibri" w:cs="Calibri"/>
          <w:b/>
          <w:color w:val="B68A35"/>
          <w:sz w:val="26"/>
          <w:szCs w:val="26"/>
        </w:rPr>
        <w:t>Expected Aggregate Impact:</w:t>
      </w:r>
      <w:bookmarkStart w:id="25" w:name="_Toc000000025"/>
      <w:bookmarkEnd w:id="25"/>
    </w:p>
    <w:tbl>
      <w:tblPr>
        <w:tblStyle w:val="TableGrid"/>
        <w:tblW w:type="auto" w:w="0"/>
        <w:tblLook w:firstColumn="1" w:firstRow="1" w:lastColumn="0" w:lastRow="0" w:noHBand="0" w:noVBand="1" w:val="04A0"/>
        <w:tblLayout w:type="fixed"/>
      </w:tblPr>
      <w:tblGrid>
        <w:gridCol w:w="2340"/>
        <w:gridCol w:w="2340"/>
        <w:gridCol w:w="2340"/>
        <w:gridCol w:w="2340"/>
      </w:tblGrid>
      <w:tr>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8.0%</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10+</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95%+</w:t>
            </w:r>
          </w:p>
        </w:tc>
        <w:tc>
          <w:tcPr>
            <w:tcW w:type="dxa" w:w="2340"/>
            <w:shd w:val="clear" w:color="auto" w:fill="B68A35"/>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color w:val="FFFFFF"/>
                <w:sz w:val="20"/>
                <w:szCs w:val="20"/>
              </w:rPr>
              <w:t>30-40%</w:t>
            </w:r>
          </w:p>
        </w:tc>
      </w:tr>
      <w:tr>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of contact requests are genuine inquiries fully convertible to proactive self-service</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cases eliminable through proactive notification</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case classification accuracy following the automated classifier and application of proposed initiatives</w:t>
            </w:r>
          </w:p>
        </w:tc>
        <w:tc>
          <w:tcPr>
            <w:tcW w:type="dxa" w:w="2340"/>
            <w:shd w:val="clear" w:color="auto" w:fill="FFFFFF"/>
            <w:tcMar>
              <w:top w:w="60" w:type="dxa"/>
              <w:bottom w:w="60" w:type="dxa"/>
              <w:left w:w="108" w:type="dxa"/>
              <w:right w:w="108" w:type="dxa"/>
            </w:tcMar>
            <w:tcBorders>
              <w:top w:val="single" w:sz="4" w:space="0" w:color="CCCCCC"/>
              <w:right w:val="single" w:sz="4" w:space="0" w:color="CCCCCC"/>
              <w:left w:val="single" w:sz="4" w:space="0" w:color="CCCCCC"/>
              <w:bottom w:val="single" w:sz="4" w:space="0" w:color="CCCCCC"/>
            </w:tcBorders>
          </w:tcPr>
          <w:p>
            <w:pPr>
              <w:spacing w:before="60" w:after="60"/>
              <w:jc w:val="left"/>
            </w:pPr>
            <w:r>
              <w:rPr>
                <w:rFonts w:ascii="Calibri" w:hAnsi="Calibri" w:eastAsia="Calibri" w:cs="Calibri"/>
                <w:b w:val="0"/>
                <w:color w:val="000000"/>
                <w:sz w:val="20"/>
                <w:szCs w:val="20"/>
              </w:rPr>
              <w:t>reduction in repeat contact cases and calls</w:t>
            </w:r>
          </w:p>
        </w:tc>
      </w:tr>
    </w:tbl>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12" w:space="4" w:color="B68A35"/>
      </w:pBdr>
    </w:pPr>
    <w:r>
      <w:rPr>
        <w:rFonts w:ascii="Calibri" w:hAnsi="Calibri" w:eastAsia="Calibri" w:cs="Calibri"/>
        <w:sz w:val="18"/>
        <w:szCs w:val="18"/>
      </w:rPr>
      <w:t xml:space="preserve">Confidential — Internal Use Only  |  Page </w:t>
    </w:r>
    <w:r>
      <w:fldChar w:fldCharType="begin"/>
    </w:r>
    <w: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12" w:space="4" w:color="B68A35"/>
      </w:pBdr>
    </w:pPr>
    <w:r>
      <w:rPr>
        <w:rFonts w:ascii="Calibri" w:hAnsi="Calibri" w:eastAsia="Calibri" w:cs="Calibri"/>
        <w:color w:val="B68A35"/>
        <w:sz w:val="20"/>
        <w:szCs w:val="20"/>
      </w:rPr>
      <w:t>Customer Inquiry Analysis Report  ·  January - December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s="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cs="Calibri"/>
      <w:b/>
      <w:bCs/>
      <w:color w:val="B68A3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cs="Calibri"/>
      <w:b/>
      <w:bCs/>
      <w:color w:val="B68A3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cs="Calibri"/>
      <w:b/>
      <w:bCs/>
      <w:color w:val="B68A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Heading">
    <w:name w:val="TOC Heading"/>
    <w:basedOn w:val="Heading1"/>
    <w:next w:val="Normal"/>
    <w:uiPriority w:val="39"/>
    <w:unhideWhenUsed/>
    <w:qFormat/>
    <w:pPr>
      <w:shd w:val="clear" w:color="auto" w:fill="B68A35"/>
      <w:spacing w:before="0" w:line="240" w:lineRule="auto"/>
      <w:ind w:left="0"/>
      <w:jc w:val="left"/>
    </w:pPr>
    <w:rPr>
      <w:rFonts w:ascii="Calibri" w:hAnsi="Calibri" w:cs="Calibri"/>
      <w:b/>
      <w:bCs/>
      <w:color w:val="FFFFFF"/>
    </w:rPr>
  </w:style>
  <w:style w:type="paragraph" w:styleId="TOC1">
    <w:name w:val="toc 1"/>
    <w:basedOn w:val="Normal"/>
    <w:next w:val="Normal"/>
    <w:autoRedefine/>
    <w:uiPriority w:val="39"/>
    <w:unhideWhenUsed/>
    <w:pPr>
      <w:tabs>
        <w:tab w:val="right" w:leader="dot" w:pos="9310"/>
      </w:tabs>
      <w:spacing w:after="100"/>
      <w:jc w:val="left"/>
    </w:pPr>
    <w:rPr>
      <w:rFonts w:cs="Calibri"/>
    </w:rPr>
  </w:style>
  <w:style w:type="paragraph" w:styleId="TOC2">
    <w:name w:val="toc 2"/>
    <w:basedOn w:val="Normal"/>
    <w:next w:val="Normal"/>
    <w:autoRedefine/>
    <w:uiPriority w:val="39"/>
    <w:unhideWhenUsed/>
    <w:pPr>
      <w:tabs>
        <w:tab w:val="right" w:leader="dot" w:pos="9310"/>
      </w:tabs>
      <w:spacing w:after="100"/>
      <w:jc w:val="left"/>
    </w:pPr>
    <w:rPr>
      <w:rFonts w:cs="Calibri"/>
    </w:rPr>
  </w:style>
  <w:style w:type="paragraph" w:styleId="TOC3">
    <w:name w:val="toc 3"/>
    <w:basedOn w:val="Normal"/>
    <w:next w:val="Normal"/>
    <w:autoRedefine/>
    <w:uiPriority w:val="39"/>
    <w:unhideWhenUsed/>
    <w:pPr>
      <w:tabs>
        <w:tab w:val="right" w:leader="dot" w:pos="9310"/>
      </w:tabs>
      <w:spacing w:after="100"/>
      <w:jc w:val="left"/>
    </w:pPr>
    <w:rPr>
      <w:rFonts w:cs="Calibri"/>
    </w:rPr>
  </w:style>
  <w:style w:type="character" w:styleId="Hyperlink">
    <w:name w:val="Hyperlink"/>
    <w:basedOn w:val="DefaultParagraphFont"/>
    <w:uiPriority w:val="99"/>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chart1_data.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a:lstStyle/>
          <a:p>
            <a:r>
              <a:rPr lang="ar-SA" sz="1200"/>
              <a:t>Original Classification vs. Correct Classification</a:t>
            </a:r>
          </a:p>
        </c:rich>
      </c:tx>
      <c:overlay val="0"/>
    </c:title>
    <c:plotArea>
      <c:layout/>
      <c:barChart>
        <c:barDir val="col"/>
        <c:grouping val="clustered"/>
        <c:varyColors val="0"/>
        <c:ser>
          <c:idx val="0"/>
          <c:order val="0"/>
          <c:tx>
            <c:strRef>
              <c:f>Sheet1!$B$1</c:f>
              <c:strCache>
                <c:ptCount val="1"/>
                <c:pt idx="0">
                  <c:v>Correct Classification</c:v>
                </c:pt>
              </c:strCache>
            </c:strRef>
          </c:tx>
          <c:spPr>
            <a:solidFill>
              <a:srgbClr val="B68A35"/>
            </a:solidFill>
            <a:ln>
              <a:solidFill>
                <a:srgbClr val="B68A35"/>
              </a:solidFill>
            </a:ln>
          </c:spPr>
          <c:cat>
            <c:strRef>
              <c:f>Sheet1!$A$2:$A$5</c:f>
              <c:strCache>
                <c:ptCount val="4"/>
                <c:pt idx="0">
                  <c:v>Complaint</c:v>
                </c:pt>
                <c:pt idx="1">
                  <c:v>Inquiry</c:v>
                </c:pt>
                <c:pt idx="2">
                  <c:v>Request</c:v>
                </c:pt>
                <c:pt idx="3">
                  <c:v>Compliment</c:v>
                </c:pt>
              </c:strCache>
            </c:strRef>
          </c:cat>
          <c:val>
            <c:numRef>
              <c:f>Sheet1!$B$2:$B$5</c:f>
              <c:numCache>
                <c:formatCode>General</c:formatCode>
                <c:ptCount val="4"/>
                <c:pt idx="0">
                  <c:v>30.0</c:v>
                </c:pt>
                <c:pt idx="1">
                  <c:v>4.0</c:v>
                </c:pt>
                <c:pt idx="2">
                  <c:v>16.0</c:v>
                </c:pt>
                <c:pt idx="3">
                  <c:v>0.0</c:v>
                </c:pt>
              </c:numCache>
            </c:numRef>
          </c:val>
        </c:ser>
        <c:ser>
          <c:idx val="1"/>
          <c:order val="1"/>
          <c:tx>
            <c:strRef>
              <c:f>Sheet1!$C$1</c:f>
              <c:strCache>
                <c:ptCount val="1"/>
                <c:pt idx="0">
                  <c:v>Original Classification</c:v>
                </c:pt>
              </c:strCache>
            </c:strRef>
          </c:tx>
          <c:spPr>
            <a:solidFill>
              <a:srgbClr val="999999"/>
            </a:solidFill>
            <a:ln>
              <a:solidFill>
                <a:srgbClr val="999999"/>
              </a:solidFill>
            </a:ln>
          </c:spPr>
          <c:cat>
            <c:strRef>
              <c:f>Sheet1!$A$2:$A$5</c:f>
              <c:strCache>
                <c:ptCount val="4"/>
                <c:pt idx="0">
                  <c:v>Complaint</c:v>
                </c:pt>
                <c:pt idx="1">
                  <c:v>Inquiry</c:v>
                </c:pt>
                <c:pt idx="2">
                  <c:v>Request</c:v>
                </c:pt>
                <c:pt idx="3">
                  <c:v>Compliment</c:v>
                </c:pt>
              </c:strCache>
            </c:strRef>
          </c:cat>
          <c:val>
            <c:numRef>
              <c:f>Sheet1!$C$2:$C$5</c:f>
              <c:numCache>
                <c:formatCode>General</c:formatCode>
                <c:ptCount val="4"/>
                <c:pt idx="0">
                  <c:v>0.0</c:v>
                </c:pt>
                <c:pt idx="1">
                  <c:v>50.0</c:v>
                </c:pt>
                <c:pt idx="2">
                  <c:v>0.0</c:v>
                </c:pt>
                <c:pt idx="3">
                  <c:v>0.0</c:v>
                </c:pt>
              </c:numCache>
            </c:numRef>
          </c:val>
        </c:ser>
        <c:axId val="1"/>
        <c:axId val="2"/>
      </c:barChart>
      <c:catAx>
        <c:axId val="1"/>
        <c:scaling>
          <c:orientation val="minMax"/>
        </c:scaling>
        <c:delete val="0"/>
        <c:axPos val="b"/>
        <c:majorTickMark val="out"/>
        <c:minorTickMark val="none"/>
        <c:tickLblPos val="nextTo"/>
        <c:crossAx val="2"/>
        <c:crosses val="autoZero"/>
        <c:auto val="1"/>
        <c:lblAlgn val="ctr"/>
        <c:lblOffset val="100"/>
        <c:noMultiLvlLbl val="0"/>
        <c:txPr>
          <a:bodyPr/>
          <a:lstStyle/>
          <a:p>
            <a:pPr>
              <a:defRPr sz="900"/>
            </a:pPr>
          </a:p>
        </c:txPr>
      </c:catAx>
      <c:valAx>
        <c:axId val="2"/>
        <c:scaling/>
        <c:delete val="0"/>
        <c:axPos val="l"/>
        <c:majorGridlines/>
        <c:majorTickMark val="out"/>
        <c:minorTickMark val="none"/>
        <c:tickLblPos val="nextTo"/>
        <c:crossAx val="1"/>
        <c:crosses val="autoZero"/>
        <c:txPr>
          <a:bodyPr/>
          <a:lstStyle/>
          <a:p>
            <a:pPr>
              <a:defRPr sz="900"/>
            </a:pPr>
          </a:p>
        </c:txPr>
      </c:valAx>
      <c:spPr>
        <a:solidFill>
          <a:srgbClr val="FFFFFF"/>
        </a:solidFill>
      </c:spPr>
    </c:plotArea>
    <c:dispBlanksAs val="gap"/>
    <c:legend>
      <c:legendPos val="b"/>
      <c:overlay val="0"/>
      <c:txPr>
        <a:bodyPr/>
        <a:lstStyle/>
        <a:p>
          <a:pPr>
            <a:defRPr sz="900"/>
          </a:pPr>
        </a:p>
      </c:txPr>
    </c:legend>
    <c:plotVisOnly val="1"/>
  </c:chart>
  <c:txPr>
    <a:bodyPr/>
    <a:lstStyle/>
    <a:p>
      <a:pPr>
        <a:defRPr sz="1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