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lineRule="auto" w:line="288" w:before="0" w:after="140"/>
        <w:jc w:val="left"/>
        <w:rPr/>
      </w:pPr>
      <w:r>
        <w:rPr/>
        <w:t>Working it as a barotropic gravity wave at ~200 m/s (√(gH) for ~4,000 m depth — about 720 km/h), with coastal distances measured along ~65°S (~47 km per degree of longitude). One physical point that works strongly in your favor: the trapped wave propagates westward around the continent, but a collapse also radiates a free wave eastward — so you get two branches, and since the Amundsen sits nearly antipodal to Prydz Bay, the branches converge there almost simultaneously.</w:t>
      </w:r>
    </w:p>
    <w:p>
      <w:pPr>
        <w:pStyle w:val="BodyText"/>
        <w:bidi w:val="0"/>
        <w:spacing w:lineRule="auto" w:line="288" w:before="0" w:after="140"/>
        <w:jc w:val="left"/>
        <w:rPr/>
      </w:pPr>
      <w:r>
        <w:rPr/>
        <w:t>From T0 = 2031-05-15T03:20Z at Prydz Bay (73°E):</w:t>
      </w:r>
    </w:p>
    <w:tbl>
      <w:tblPr>
        <w:tblW w:w="9972" w:type="dxa"/>
        <w:jc w:val="left"/>
        <w:tblInd w:w="0" w:type="dxa"/>
        <w:tblLayout w:type="fixed"/>
        <w:tblCellMar>
          <w:top w:w="28" w:type="dxa"/>
          <w:left w:w="28" w:type="dxa"/>
          <w:bottom w:w="28" w:type="dxa"/>
          <w:right w:w="28" w:type="dxa"/>
        </w:tblCellMar>
      </w:tblPr>
      <w:tblGrid>
        <w:gridCol w:w="2320"/>
        <w:gridCol w:w="1165"/>
        <w:gridCol w:w="1891"/>
        <w:gridCol w:w="1912"/>
        <w:gridCol w:w="2684"/>
      </w:tblGrid>
      <w:tr>
        <w:trPr>
          <w:tblHeader w:val="true"/>
        </w:trPr>
        <w:tc>
          <w:tcPr>
            <w:tcW w:w="2320" w:type="dxa"/>
            <w:tcBorders/>
            <w:vAlign w:val="center"/>
          </w:tcPr>
          <w:p>
            <w:pPr>
              <w:pStyle w:val="TableHeading"/>
              <w:suppressLineNumbers/>
              <w:bidi w:val="0"/>
              <w:jc w:val="center"/>
              <w:rPr/>
            </w:pPr>
            <w:r>
              <w:rPr/>
              <w:t>Shelf</w:t>
            </w:r>
          </w:p>
        </w:tc>
        <w:tc>
          <w:tcPr>
            <w:tcW w:w="1165" w:type="dxa"/>
            <w:tcBorders/>
            <w:vAlign w:val="center"/>
          </w:tcPr>
          <w:p>
            <w:pPr>
              <w:pStyle w:val="TableHeading"/>
              <w:suppressLineNumbers/>
              <w:bidi w:val="0"/>
              <w:jc w:val="center"/>
              <w:rPr/>
            </w:pPr>
            <w:r>
              <w:rPr/>
              <w:t>Branch</w:t>
            </w:r>
          </w:p>
        </w:tc>
        <w:tc>
          <w:tcPr>
            <w:tcW w:w="1891" w:type="dxa"/>
            <w:tcBorders/>
            <w:vAlign w:val="center"/>
          </w:tcPr>
          <w:p>
            <w:pPr>
              <w:pStyle w:val="TableHeading"/>
              <w:suppressLineNumbers/>
              <w:bidi w:val="0"/>
              <w:jc w:val="center"/>
              <w:rPr/>
            </w:pPr>
            <w:r>
              <w:rPr/>
              <w:t>Path</w:t>
            </w:r>
          </w:p>
        </w:tc>
        <w:tc>
          <w:tcPr>
            <w:tcW w:w="1912" w:type="dxa"/>
            <w:tcBorders/>
            <w:vAlign w:val="center"/>
          </w:tcPr>
          <w:p>
            <w:pPr>
              <w:pStyle w:val="TableHeading"/>
              <w:suppressLineNumbers/>
              <w:bidi w:val="0"/>
              <w:jc w:val="center"/>
              <w:rPr/>
            </w:pPr>
            <w:r>
              <w:rPr/>
              <w:t>Arrival at embayment mouth</w:t>
            </w:r>
          </w:p>
        </w:tc>
        <w:tc>
          <w:tcPr>
            <w:tcW w:w="2684" w:type="dxa"/>
            <w:tcBorders/>
            <w:vAlign w:val="center"/>
          </w:tcPr>
          <w:p>
            <w:pPr>
              <w:pStyle w:val="TableHeading"/>
              <w:suppressLineNumbers/>
              <w:bidi w:val="0"/>
              <w:jc w:val="center"/>
              <w:rPr/>
            </w:pPr>
            <w:r>
              <w:rPr/>
              <w:t>At the shelf front</w:t>
            </w:r>
          </w:p>
        </w:tc>
      </w:tr>
      <w:tr>
        <w:trPr/>
        <w:tc>
          <w:tcPr>
            <w:tcW w:w="2320" w:type="dxa"/>
            <w:tcBorders/>
            <w:vAlign w:val="center"/>
          </w:tcPr>
          <w:p>
            <w:pPr>
              <w:pStyle w:val="TableContents"/>
              <w:bidi w:val="0"/>
              <w:jc w:val="left"/>
              <w:rPr/>
            </w:pPr>
            <w:r>
              <w:rPr/>
              <w:t xml:space="preserve">Prydz </w:t>
            </w:r>
          </w:p>
        </w:tc>
        <w:tc>
          <w:tcPr>
            <w:tcW w:w="1165" w:type="dxa"/>
            <w:tcBorders/>
            <w:vAlign w:val="center"/>
          </w:tcPr>
          <w:p>
            <w:pPr>
              <w:pStyle w:val="TableContents"/>
              <w:widowControl w:val="false"/>
              <w:suppressLineNumbers/>
              <w:bidi w:val="0"/>
              <w:jc w:val="left"/>
              <w:rPr/>
            </w:pPr>
            <w:r>
              <w:rPr/>
            </w:r>
          </w:p>
        </w:tc>
        <w:tc>
          <w:tcPr>
            <w:tcW w:w="1891" w:type="dxa"/>
            <w:tcBorders/>
            <w:vAlign w:val="center"/>
          </w:tcPr>
          <w:p>
            <w:pPr>
              <w:pStyle w:val="TableContents"/>
              <w:widowControl w:val="false"/>
              <w:suppressLineNumbers/>
              <w:bidi w:val="0"/>
              <w:jc w:val="left"/>
              <w:rPr/>
            </w:pPr>
            <w:r>
              <w:rPr/>
            </w:r>
          </w:p>
        </w:tc>
        <w:tc>
          <w:tcPr>
            <w:tcW w:w="1912" w:type="dxa"/>
            <w:tcBorders/>
            <w:vAlign w:val="center"/>
          </w:tcPr>
          <w:p>
            <w:pPr>
              <w:pStyle w:val="TableContents"/>
              <w:bidi w:val="0"/>
              <w:jc w:val="left"/>
              <w:rPr/>
            </w:pPr>
            <w:r>
              <w:rPr/>
              <w:t>3:20Z</w:t>
            </w:r>
          </w:p>
        </w:tc>
        <w:tc>
          <w:tcPr>
            <w:tcW w:w="2684" w:type="dxa"/>
            <w:tcBorders/>
            <w:vAlign w:val="center"/>
          </w:tcPr>
          <w:p>
            <w:pPr>
              <w:pStyle w:val="TableContents"/>
              <w:widowControl w:val="false"/>
              <w:suppressLineNumbers/>
              <w:bidi w:val="0"/>
              <w:jc w:val="left"/>
              <w:rPr/>
            </w:pPr>
            <w:r>
              <w:rPr/>
            </w:r>
          </w:p>
        </w:tc>
      </w:tr>
      <w:tr>
        <w:trPr/>
        <w:tc>
          <w:tcPr>
            <w:tcW w:w="2320" w:type="dxa"/>
            <w:tcBorders/>
            <w:vAlign w:val="center"/>
          </w:tcPr>
          <w:p>
            <w:pPr>
              <w:pStyle w:val="TableContents"/>
              <w:widowControl w:val="false"/>
              <w:suppressLineNumbers/>
              <w:bidi w:val="0"/>
              <w:jc w:val="left"/>
              <w:rPr/>
            </w:pPr>
            <w:r>
              <w:rPr/>
              <w:t>Ross (~180°)</w:t>
            </w:r>
          </w:p>
        </w:tc>
        <w:tc>
          <w:tcPr>
            <w:tcW w:w="1165" w:type="dxa"/>
            <w:tcBorders/>
            <w:vAlign w:val="center"/>
          </w:tcPr>
          <w:p>
            <w:pPr>
              <w:pStyle w:val="TableContents"/>
              <w:widowControl w:val="false"/>
              <w:suppressLineNumbers/>
              <w:bidi w:val="0"/>
              <w:jc w:val="left"/>
              <w:rPr/>
            </w:pPr>
            <w:r>
              <w:rPr/>
              <w:t>eastward</w:t>
            </w:r>
          </w:p>
        </w:tc>
        <w:tc>
          <w:tcPr>
            <w:tcW w:w="1891" w:type="dxa"/>
            <w:tcBorders/>
            <w:vAlign w:val="center"/>
          </w:tcPr>
          <w:p>
            <w:pPr>
              <w:pStyle w:val="TableContents"/>
              <w:widowControl w:val="false"/>
              <w:suppressLineNumbers/>
              <w:bidi w:val="0"/>
              <w:jc w:val="left"/>
              <w:rPr/>
            </w:pPr>
            <w:r>
              <w:rPr/>
              <w:t>107°, ~5,000 km, ~7.0 h</w:t>
            </w:r>
          </w:p>
        </w:tc>
        <w:tc>
          <w:tcPr>
            <w:tcW w:w="1912" w:type="dxa"/>
            <w:tcBorders/>
            <w:vAlign w:val="center"/>
          </w:tcPr>
          <w:p>
            <w:pPr>
              <w:pStyle w:val="TableContents"/>
              <w:widowControl w:val="false"/>
              <w:suppressLineNumbers/>
              <w:bidi w:val="0"/>
              <w:jc w:val="left"/>
              <w:rPr/>
            </w:pPr>
            <w:r>
              <w:rPr/>
              <w:t>~10:20Z</w:t>
            </w:r>
          </w:p>
        </w:tc>
        <w:tc>
          <w:tcPr>
            <w:tcW w:w="2684" w:type="dxa"/>
            <w:tcBorders/>
            <w:vAlign w:val="center"/>
          </w:tcPr>
          <w:p>
            <w:pPr>
              <w:pStyle w:val="TableContents"/>
              <w:widowControl w:val="false"/>
              <w:suppressLineNumbers/>
              <w:bidi w:val="0"/>
              <w:jc w:val="left"/>
              <w:rPr/>
            </w:pPr>
            <w:r>
              <w:rPr/>
              <w:t>~11:35Z (+900 km into the embayment)</w:t>
            </w:r>
          </w:p>
        </w:tc>
      </w:tr>
      <w:tr>
        <w:trPr/>
        <w:tc>
          <w:tcPr>
            <w:tcW w:w="2320" w:type="dxa"/>
            <w:tcBorders/>
            <w:vAlign w:val="center"/>
          </w:tcPr>
          <w:p>
            <w:pPr>
              <w:pStyle w:val="TableContents"/>
              <w:widowControl w:val="false"/>
              <w:suppressLineNumbers/>
              <w:bidi w:val="0"/>
              <w:jc w:val="left"/>
              <w:rPr/>
            </w:pPr>
            <w:r>
              <w:rPr/>
              <w:t>Weddell / Filchner-Ronne (~50°W)</w:t>
            </w:r>
          </w:p>
        </w:tc>
        <w:tc>
          <w:tcPr>
            <w:tcW w:w="1165" w:type="dxa"/>
            <w:tcBorders/>
            <w:vAlign w:val="center"/>
          </w:tcPr>
          <w:p>
            <w:pPr>
              <w:pStyle w:val="TableContents"/>
              <w:widowControl w:val="false"/>
              <w:suppressLineNumbers/>
              <w:bidi w:val="0"/>
              <w:jc w:val="left"/>
              <w:rPr/>
            </w:pPr>
            <w:r>
              <w:rPr/>
              <w:t>westward</w:t>
            </w:r>
          </w:p>
        </w:tc>
        <w:tc>
          <w:tcPr>
            <w:tcW w:w="1891" w:type="dxa"/>
            <w:tcBorders/>
            <w:vAlign w:val="center"/>
          </w:tcPr>
          <w:p>
            <w:pPr>
              <w:pStyle w:val="TableContents"/>
              <w:widowControl w:val="false"/>
              <w:suppressLineNumbers/>
              <w:bidi w:val="0"/>
              <w:jc w:val="left"/>
              <w:rPr/>
            </w:pPr>
            <w:r>
              <w:rPr/>
              <w:t>123°, ~5,800 km, ~8.0 h</w:t>
            </w:r>
          </w:p>
        </w:tc>
        <w:tc>
          <w:tcPr>
            <w:tcW w:w="1912" w:type="dxa"/>
            <w:tcBorders/>
            <w:vAlign w:val="center"/>
          </w:tcPr>
          <w:p>
            <w:pPr>
              <w:pStyle w:val="TableContents"/>
              <w:widowControl w:val="false"/>
              <w:suppressLineNumbers/>
              <w:bidi w:val="0"/>
              <w:jc w:val="left"/>
              <w:rPr/>
            </w:pPr>
            <w:r>
              <w:rPr/>
              <w:t>~11:20Z</w:t>
            </w:r>
          </w:p>
        </w:tc>
        <w:tc>
          <w:tcPr>
            <w:tcW w:w="2684" w:type="dxa"/>
            <w:tcBorders/>
            <w:vAlign w:val="center"/>
          </w:tcPr>
          <w:p>
            <w:pPr>
              <w:pStyle w:val="TableContents"/>
              <w:widowControl w:val="false"/>
              <w:suppressLineNumbers/>
              <w:bidi w:val="0"/>
              <w:jc w:val="left"/>
              <w:rPr/>
            </w:pPr>
            <w:r>
              <w:rPr/>
              <w:t>~13:10Z (+1,300 km to the front at 78°S)</w:t>
            </w:r>
          </w:p>
        </w:tc>
      </w:tr>
      <w:tr>
        <w:trPr/>
        <w:tc>
          <w:tcPr>
            <w:tcW w:w="2320" w:type="dxa"/>
            <w:tcBorders/>
            <w:vAlign w:val="center"/>
          </w:tcPr>
          <w:p>
            <w:pPr>
              <w:pStyle w:val="TableContents"/>
              <w:widowControl w:val="false"/>
              <w:suppressLineNumbers/>
              <w:bidi w:val="0"/>
              <w:jc w:val="left"/>
              <w:rPr/>
            </w:pPr>
            <w:r>
              <w:rPr/>
              <w:t>Amundsen (~105°W)</w:t>
            </w:r>
          </w:p>
        </w:tc>
        <w:tc>
          <w:tcPr>
            <w:tcW w:w="1165" w:type="dxa"/>
            <w:tcBorders/>
            <w:vAlign w:val="center"/>
          </w:tcPr>
          <w:p>
            <w:pPr>
              <w:pStyle w:val="TableContents"/>
              <w:widowControl w:val="false"/>
              <w:suppressLineNumbers/>
              <w:bidi w:val="0"/>
              <w:jc w:val="left"/>
              <w:rPr/>
            </w:pPr>
            <w:r>
              <w:rPr/>
              <w:t>both converge</w:t>
            </w:r>
          </w:p>
        </w:tc>
        <w:tc>
          <w:tcPr>
            <w:tcW w:w="1891" w:type="dxa"/>
            <w:tcBorders/>
            <w:vAlign w:val="center"/>
          </w:tcPr>
          <w:p>
            <w:pPr>
              <w:pStyle w:val="TableContents"/>
              <w:widowControl w:val="false"/>
              <w:suppressLineNumbers/>
              <w:bidi w:val="0"/>
              <w:jc w:val="left"/>
              <w:rPr/>
            </w:pPr>
            <w:r>
              <w:rPr/>
              <w:t>178° W / 182° E, ~8,400–8,600 km</w:t>
            </w:r>
          </w:p>
        </w:tc>
        <w:tc>
          <w:tcPr>
            <w:tcW w:w="1912" w:type="dxa"/>
            <w:tcBorders/>
            <w:vAlign w:val="center"/>
          </w:tcPr>
          <w:p>
            <w:pPr>
              <w:pStyle w:val="TableContents"/>
              <w:widowControl w:val="false"/>
              <w:suppressLineNumbers/>
              <w:bidi w:val="0"/>
              <w:jc w:val="left"/>
              <w:rPr/>
            </w:pPr>
            <w:r>
              <w:rPr/>
              <w:t>~15:00Z and ~15:15Z</w:t>
            </w:r>
          </w:p>
        </w:tc>
        <w:tc>
          <w:tcPr>
            <w:tcW w:w="2684" w:type="dxa"/>
            <w:tcBorders/>
            <w:vAlign w:val="center"/>
          </w:tcPr>
          <w:p>
            <w:pPr>
              <w:pStyle w:val="TableContents"/>
              <w:widowControl w:val="false"/>
              <w:suppressLineNumbers/>
              <w:bidi w:val="0"/>
              <w:jc w:val="left"/>
              <w:rPr/>
            </w:pPr>
            <w:r>
              <w:rPr/>
              <w:t>~15:00–15:30Z (shelves sit near the open coast)</w:t>
            </w:r>
          </w:p>
        </w:tc>
      </w:tr>
    </w:tbl>
    <w:p>
      <w:pPr>
        <w:pStyle w:val="BodyText"/>
        <w:bidi w:val="0"/>
        <w:spacing w:lineRule="auto" w:line="288" w:before="0" w:after="140"/>
        <w:jc w:val="left"/>
        <w:rPr/>
      </w:pPr>
      <w:r>
        <w:rPr/>
        <w:t>So: Ross fails first, Weddell second, Amundsen last — all within about twelve hours of T0, which lands exactly on your premise. The Amundsen convergence is a gift: two wavefronts arriving fifteen minutes apart from opposite directions, hitting shelves (Thwaites, Pine Island) that are already the most fragile on the continent. Nālani would see the double arrival in the hydroacoustic record and know immediately what it meant.</w:t>
      </w:r>
    </w:p>
    <w:p>
      <w:pPr>
        <w:pStyle w:val="BodyText"/>
        <w:bidi w:val="0"/>
        <w:spacing w:lineRule="auto" w:line="288" w:before="0" w:after="140"/>
        <w:jc w:val="left"/>
        <w:rPr/>
      </w:pPr>
      <w:r>
        <w:rPr/>
        <w:t>Slop to be aware of: the real coastal path isn't a circle, and the wave slows to ~70 m/s once it's over the shallow continental shelf, so treat these as ±1 hour. That's freedom, not error — you can nudge any arrival to fit a scene.</w:t>
      </w:r>
    </w:p>
    <w:p>
      <w:pPr>
        <w:pStyle w:val="date"/>
        <w:keepNext w:val="true"/>
        <w:keepLines/>
        <w:numPr>
          <w:ilvl w:val="0"/>
          <w:numId w:val="0"/>
        </w:numPr>
        <w:bidi w:val="0"/>
        <w:spacing w:before="0" w:after="0"/>
        <w:jc w:val="left"/>
        <w:rPr/>
      </w:pPr>
      <w:r>
        <w:rPr/>
      </w:r>
    </w:p>
    <w:sectPr>
      <w:headerReference w:type="default" r:id="rId2"/>
      <w:type w:val="nextPage"/>
      <w:pgSz w:w="12240" w:h="15840"/>
      <w:pgMar w:left="1134" w:right="1134" w:gutter="0" w:header="1134" w:top="1942" w:footer="0" w:bottom="1134"/>
      <w:pgNumType w:fmt="decimal"/>
      <w:formProt w:val="false"/>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rlito">
    <w:altName w:val="Calibri"/>
    <w:charset w:val="01"/>
    <w:family w:val="swiss"/>
    <w:pitch w:val="variable"/>
  </w:font>
  <w:font w:name="OpenSymbol">
    <w:altName w:val="Arial Unicode MS"/>
    <w:charset w:val="02"/>
    <w:family w:val="auto"/>
    <w:pitch w:val="default"/>
  </w:font>
  <w:font w:name="Liberation Mono">
    <w:altName w:val="Courier New"/>
    <w:charset w:val="01"/>
    <w:family w:val="modern"/>
    <w:pitch w:val="fixed"/>
  </w:font>
  <w:font w:name="Caladea">
    <w:altName w:val="Cambria"/>
    <w:charset w:val="01"/>
    <w:family w:val="roman"/>
    <w:pitch w:val="variable"/>
  </w:font>
  <w:font w:name="Liberation Sans">
    <w:altName w:val="Arial"/>
    <w:charset w:val="01"/>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uppressLineNumbers/>
      <w:bidi w:val="0"/>
      <w:jc w:val="left"/>
      <w:rPr/>
    </w:pPr>
    <w:r>
      <w:rPr/>
      <w:fldChar w:fldCharType="begin"/>
    </w:r>
    <w:r>
      <w:rPr/>
      <w:instrText xml:space="preserve"> STYLEREF  2 \* MERGEFORMAT </w:instrText>
    </w:r>
    <w:r>
      <w:rPr/>
      <w:fldChar w:fldCharType="separate"/>
    </w:r>
    <w:r>
      <w:rPr/>
    </w:r>
    <w:r>
      <w:rPr/>
      <w:fldChar w:fldCharType="end"/>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1"/>
      <w:lvlJc w:val="left"/>
      <w:pPr>
        <w:tabs>
          <w:tab w:val="num" w:pos="0"/>
        </w:tabs>
        <w:ind w:left="0" w:hanging="0"/>
      </w:pPr>
    </w:lvl>
    <w:lvl w:ilvl="1">
      <w:start w:val="1"/>
      <w:pStyle w:val="Heading2"/>
      <w:numFmt w:val="none"/>
      <w:suff w:val="nothing"/>
      <w:lvlText w:val="%2"/>
      <w:lvlJc w:val="left"/>
      <w:pPr>
        <w:tabs>
          <w:tab w:val="num" w:pos="0"/>
        </w:tabs>
        <w:ind w:left="0" w:hanging="0"/>
      </w:pPr>
    </w:lvl>
    <w:lvl w:ilvl="2">
      <w:start w:val="1"/>
      <w:pStyle w:val="Heading3"/>
      <w:numFmt w:val="none"/>
      <w:suff w:val="nothing"/>
      <w:lvlText w:val="%3"/>
      <w:lvlJc w:val="left"/>
      <w:pPr>
        <w:tabs>
          <w:tab w:val="num" w:pos="0"/>
        </w:tabs>
        <w:ind w:left="0" w:hanging="0"/>
      </w:pPr>
    </w:lvl>
    <w:lvl w:ilvl="3">
      <w:start w:val="1"/>
      <w:pStyle w:val="Heading4"/>
      <w:numFmt w:val="none"/>
      <w:suff w:val="nothing"/>
      <w:lvlText w:val="%4"/>
      <w:lvlJc w:val="left"/>
      <w:pPr>
        <w:tabs>
          <w:tab w:val="num" w:pos="0"/>
        </w:tabs>
        <w:ind w:left="0" w:hanging="0"/>
      </w:pPr>
    </w:lvl>
    <w:lvl w:ilvl="4">
      <w:start w:val="1"/>
      <w:pStyle w:val="Heading5"/>
      <w:numFmt w:val="none"/>
      <w:suff w:val="nothing"/>
      <w:lvlText w:val="%5"/>
      <w:lvlJc w:val="left"/>
      <w:pPr>
        <w:tabs>
          <w:tab w:val="num" w:pos="0"/>
        </w:tabs>
        <w:ind w:left="0" w:hanging="0"/>
      </w:pPr>
    </w:lvl>
    <w:lvl w:ilvl="5">
      <w:start w:val="1"/>
      <w:pStyle w:val="Heading6"/>
      <w:numFmt w:val="none"/>
      <w:suff w:val="nothing"/>
      <w:lvlText w:val="%6"/>
      <w:lvlJc w:val="left"/>
      <w:pPr>
        <w:tabs>
          <w:tab w:val="num" w:pos="0"/>
        </w:tabs>
        <w:ind w:left="0" w:hanging="0"/>
      </w:pPr>
    </w:lvl>
    <w:lvl w:ilvl="6">
      <w:start w:val="1"/>
      <w:pStyle w:val="Heading7"/>
      <w:numFmt w:val="none"/>
      <w:suff w:val="nothing"/>
      <w:lvlText w:val="%7"/>
      <w:lvlJc w:val="left"/>
      <w:pPr>
        <w:tabs>
          <w:tab w:val="num" w:pos="0"/>
        </w:tabs>
        <w:ind w:left="0" w:hanging="0"/>
      </w:pPr>
    </w:lvl>
    <w:lvl w:ilvl="7">
      <w:start w:val="1"/>
      <w:pStyle w:val="Heading8"/>
      <w:numFmt w:val="none"/>
      <w:suff w:val="nothing"/>
      <w:lvlText w:val="%8"/>
      <w:lvlJc w:val="left"/>
      <w:pPr>
        <w:tabs>
          <w:tab w:val="num" w:pos="0"/>
        </w:tabs>
        <w:ind w:left="0" w:hanging="0"/>
      </w:pPr>
    </w:lvl>
    <w:lvl w:ilvl="8">
      <w:start w:val="1"/>
      <w:pStyle w:val="Heading9"/>
      <w:numFmt w:val="none"/>
      <w:suff w:val="nothing"/>
      <w:lvlText w:val="%9"/>
      <w:lvlJc w:val="left"/>
      <w:pPr>
        <w:tabs>
          <w:tab w:val="num" w:pos="0"/>
        </w:tabs>
        <w:ind w:left="0" w:hanging="0"/>
      </w:pPr>
    </w:lvl>
  </w:abstractNum>
  <w:num w:numId="1">
    <w:abstractNumId w:val="1"/>
  </w:num>
</w:numbering>
</file>

<file path=word/settings.xml><?xml version="1.0" encoding="utf-8"?>
<w:settings xmlns:w="http://schemas.openxmlformats.org/wordprocessingml/2006/main">
  <w:zoom w:percent="180"/>
  <w:defaultTabStop w:val="709"/>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urce Han Sans CN Regular" w:cs="Lohit Devanagari"/>
        <w:kern w:val="2"/>
        <w:sz w:val="22"/>
        <w:szCs w:val="22"/>
        <w:lang w:val="en-US" w:eastAsia="zh-CN" w:bidi="hi-IN"/>
      </w:rPr>
    </w:rPrDefault>
    <w:pPrDefault>
      <w:pPr>
        <w:suppressAutoHyphens w:val="true"/>
      </w:pPr>
    </w:pPrDefault>
  </w:docDefaults>
  <w:style w:type="paragraph" w:styleId="Normal">
    <w:name w:val="Normal"/>
    <w:qFormat/>
    <w:pPr>
      <w:widowControl w:val="false"/>
      <w:kinsoku w:val="true"/>
      <w:overflowPunct w:val="true"/>
      <w:autoSpaceDE w:val="true"/>
      <w:bidi w:val="0"/>
    </w:pPr>
    <w:rPr>
      <w:rFonts w:ascii="Carlito" w:hAnsi="Carlito" w:eastAsia="Source Han Sans CN Regular" w:cs="Lohit Devanagari"/>
      <w:color w:val="auto"/>
      <w:kern w:val="2"/>
      <w:sz w:val="22"/>
      <w:szCs w:val="22"/>
      <w:lang w:val="en-US" w:eastAsia="zh-CN" w:bidi="hi-IN"/>
    </w:rPr>
  </w:style>
  <w:style w:type="paragraph" w:styleId="Heading1">
    <w:name w:val="Heading 1"/>
    <w:basedOn w:val="Heading"/>
    <w:next w:val="BodyText"/>
    <w:qFormat/>
    <w:pPr>
      <w:numPr>
        <w:ilvl w:val="0"/>
        <w:numId w:val="1"/>
      </w:numPr>
      <w:pBdr>
        <w:bottom w:val="single" w:sz="2" w:space="1" w:color="000000"/>
      </w:pBdr>
      <w:spacing w:before="240" w:after="120"/>
      <w:outlineLvl w:val="0"/>
    </w:pPr>
    <w:rPr>
      <w:b w:val="false"/>
      <w:bCs w:val="false"/>
      <w:sz w:val="36"/>
      <w:szCs w:val="36"/>
    </w:rPr>
  </w:style>
  <w:style w:type="paragraph" w:styleId="Heading2">
    <w:name w:val="Heading 2"/>
    <w:basedOn w:val="Heading"/>
    <w:next w:val="BodyText"/>
    <w:qFormat/>
    <w:pPr>
      <w:numPr>
        <w:ilvl w:val="1"/>
        <w:numId w:val="1"/>
      </w:numPr>
      <w:spacing w:before="200" w:after="120"/>
      <w:outlineLvl w:val="1"/>
    </w:pPr>
    <w:rPr>
      <w:b w:val="false"/>
      <w:bCs w:val="false"/>
      <w:sz w:val="32"/>
      <w:szCs w:val="32"/>
    </w:rPr>
  </w:style>
  <w:style w:type="paragraph" w:styleId="Heading3">
    <w:name w:val="Heading 3"/>
    <w:basedOn w:val="Heading"/>
    <w:next w:val="BodyText"/>
    <w:qFormat/>
    <w:pPr>
      <w:numPr>
        <w:ilvl w:val="2"/>
        <w:numId w:val="1"/>
      </w:numPr>
      <w:spacing w:before="140" w:after="120"/>
      <w:outlineLvl w:val="2"/>
    </w:pPr>
    <w:rPr>
      <w:b w:val="false"/>
      <w:bCs w:val="false"/>
      <w:sz w:val="22"/>
      <w:szCs w:val="22"/>
    </w:rPr>
  </w:style>
  <w:style w:type="paragraph" w:styleId="Heading4">
    <w:name w:val="Heading 4"/>
    <w:basedOn w:val="Heading"/>
    <w:next w:val="BodyText"/>
    <w:qFormat/>
    <w:pPr>
      <w:numPr>
        <w:ilvl w:val="3"/>
        <w:numId w:val="1"/>
      </w:numPr>
      <w:spacing w:before="120" w:after="120"/>
      <w:outlineLvl w:val="3"/>
    </w:pPr>
    <w:rPr>
      <w:b w:val="false"/>
      <w:bCs w:val="false"/>
      <w:i/>
      <w:iCs/>
      <w:sz w:val="27"/>
      <w:szCs w:val="27"/>
    </w:rPr>
  </w:style>
  <w:style w:type="paragraph" w:styleId="Heading5">
    <w:name w:val="Heading 5"/>
    <w:basedOn w:val="Heading"/>
    <w:next w:val="BodyText"/>
    <w:qFormat/>
    <w:pPr>
      <w:numPr>
        <w:ilvl w:val="4"/>
        <w:numId w:val="1"/>
      </w:numPr>
      <w:spacing w:before="120" w:after="60"/>
      <w:outlineLvl w:val="4"/>
    </w:pPr>
    <w:rPr>
      <w:b w:val="false"/>
      <w:bCs w:val="false"/>
      <w:sz w:val="24"/>
      <w:szCs w:val="24"/>
    </w:rPr>
  </w:style>
  <w:style w:type="paragraph" w:styleId="Heading6">
    <w:name w:val="Heading 6"/>
    <w:basedOn w:val="Heading"/>
    <w:next w:val="BodyText"/>
    <w:qFormat/>
    <w:pPr>
      <w:numPr>
        <w:ilvl w:val="5"/>
        <w:numId w:val="1"/>
      </w:numPr>
      <w:spacing w:before="60" w:after="60"/>
      <w:outlineLvl w:val="5"/>
    </w:pPr>
    <w:rPr>
      <w:b w:val="false"/>
      <w:bCs w:val="false"/>
      <w:i/>
      <w:iCs/>
      <w:sz w:val="24"/>
      <w:szCs w:val="24"/>
    </w:rPr>
  </w:style>
  <w:style w:type="paragraph" w:styleId="Heading7">
    <w:name w:val="Heading 7"/>
    <w:basedOn w:val="Heading"/>
    <w:next w:val="BodyText"/>
    <w:qFormat/>
    <w:pPr>
      <w:numPr>
        <w:ilvl w:val="6"/>
        <w:numId w:val="1"/>
      </w:numPr>
      <w:spacing w:before="60" w:after="60"/>
      <w:outlineLvl w:val="6"/>
    </w:pPr>
    <w:rPr>
      <w:b w:val="false"/>
      <w:bCs w:val="false"/>
      <w:sz w:val="22"/>
      <w:szCs w:val="22"/>
    </w:rPr>
  </w:style>
  <w:style w:type="paragraph" w:styleId="Heading8">
    <w:name w:val="Heading 8"/>
    <w:basedOn w:val="Heading"/>
    <w:next w:val="BodyText"/>
    <w:qFormat/>
    <w:pPr>
      <w:numPr>
        <w:ilvl w:val="7"/>
        <w:numId w:val="1"/>
      </w:numPr>
      <w:spacing w:before="60" w:after="60"/>
      <w:outlineLvl w:val="7"/>
    </w:pPr>
    <w:rPr>
      <w:b w:val="false"/>
      <w:bCs w:val="false"/>
      <w:i/>
      <w:iCs/>
      <w:sz w:val="22"/>
      <w:szCs w:val="22"/>
    </w:rPr>
  </w:style>
  <w:style w:type="paragraph" w:styleId="Heading9">
    <w:name w:val="Heading 9"/>
    <w:basedOn w:val="Heading"/>
    <w:next w:val="BodyText"/>
    <w:qFormat/>
    <w:pPr>
      <w:numPr>
        <w:ilvl w:val="8"/>
        <w:numId w:val="1"/>
      </w:numPr>
      <w:spacing w:before="60" w:after="60"/>
      <w:outlineLvl w:val="8"/>
    </w:pPr>
    <w:rPr>
      <w:b w:val="false"/>
      <w:bCs w:val="false"/>
      <w:sz w:val="21"/>
      <w:szCs w:val="21"/>
    </w:rPr>
  </w:style>
  <w:style w:type="character" w:styleId="Emphasis">
    <w:name w:val="Emphasis"/>
    <w:qFormat/>
    <w:rPr>
      <w:i/>
      <w:iCs/>
    </w:rPr>
  </w:style>
  <w:style w:type="character" w:styleId="Strong">
    <w:name w:val="Strong"/>
    <w:qFormat/>
    <w:rPr>
      <w:b/>
      <w:bCs/>
    </w:rPr>
  </w:style>
  <w:style w:type="character" w:styleId="NumberingSymbols">
    <w:name w:val="Numbering Symbols"/>
    <w:qFormat/>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Noto Sans Mono CJK SC" w:cs="Liberation Mono"/>
    </w:rPr>
  </w:style>
  <w:style w:type="character" w:styleId="LineNumber">
    <w:name w:val="Line Number"/>
    <w:rPr/>
  </w:style>
  <w:style w:type="paragraph" w:styleId="Heading">
    <w:name w:val="Heading"/>
    <w:basedOn w:val="Normal"/>
    <w:next w:val="BodyText"/>
    <w:qFormat/>
    <w:pPr>
      <w:keepNext w:val="true"/>
      <w:bidi w:val="0"/>
      <w:spacing w:before="240" w:after="120"/>
    </w:pPr>
    <w:rPr>
      <w:rFonts w:ascii="Caladea" w:hAnsi="Caladea" w:eastAsia="Source Han Sans CN Regular" w:cs="Lohit Devanagari"/>
      <w:caps/>
      <w:sz w:val="28"/>
      <w:szCs w:val="28"/>
    </w:rPr>
  </w:style>
  <w:style w:type="paragraph" w:styleId="BodyText">
    <w:name w:val="Body Text"/>
    <w:basedOn w:val="Normal"/>
    <w:pPr>
      <w:spacing w:lineRule="auto" w:line="288" w:before="0" w:after="140"/>
    </w:pPr>
    <w:rPr>
      <w:sz w:val="22"/>
    </w:rPr>
  </w:style>
  <w:style w:type="paragraph" w:styleId="Title">
    <w:name w:val="Title"/>
    <w:basedOn w:val="Heading"/>
    <w:next w:val="Subtitle"/>
    <w:qFormat/>
    <w:pPr>
      <w:pBdr>
        <w:top w:val="single" w:sz="6" w:space="1" w:color="000000"/>
        <w:bottom w:val="single" w:sz="6" w:space="1" w:color="000000"/>
      </w:pBdr>
      <w:jc w:val="center"/>
    </w:pPr>
    <w:rPr>
      <w:b/>
      <w:bCs/>
      <w:sz w:val="56"/>
      <w:szCs w:val="56"/>
    </w:rPr>
  </w:style>
  <w:style w:type="paragraph" w:styleId="Subtitle">
    <w:name w:val="Subtitle"/>
    <w:basedOn w:val="Heading"/>
    <w:next w:val="BodyText"/>
    <w:qFormat/>
    <w:pPr>
      <w:spacing w:before="60" w:after="120"/>
      <w:jc w:val="center"/>
    </w:pPr>
    <w:rPr>
      <w:smallCaps/>
      <w:sz w:val="36"/>
      <w:szCs w:val="36"/>
    </w:rPr>
  </w:style>
  <w:style w:type="paragraph" w:styleId="Heading10">
    <w:name w:val="Heading 10"/>
    <w:basedOn w:val="Heading"/>
    <w:next w:val="BodyText"/>
    <w:qFormat/>
    <w:pPr>
      <w:numPr>
        <w:ilvl w:val="8"/>
        <w:numId w:val="1"/>
      </w:numPr>
      <w:spacing w:before="60" w:after="60"/>
      <w:outlineLvl w:val="8"/>
    </w:pPr>
    <w:rPr>
      <w:b w:val="false"/>
      <w:bCs w:val="false"/>
      <w:sz w:val="21"/>
      <w:szCs w:val="21"/>
    </w:rPr>
  </w:style>
  <w:style w:type="paragraph" w:styleId="HeaderandFooter">
    <w:name w:val="Header and Footer"/>
    <w:basedOn w:val="Normal"/>
    <w:qFormat/>
    <w:pPr>
      <w:suppressLineNumbers/>
      <w:tabs>
        <w:tab w:val="clear" w:pos="709"/>
        <w:tab w:val="center" w:pos="4986" w:leader="none"/>
        <w:tab w:val="right" w:pos="9972" w:leader="none"/>
      </w:tabs>
    </w:pPr>
    <w:rPr/>
  </w:style>
  <w:style w:type="paragraph" w:styleId="Header">
    <w:name w:val="Header"/>
    <w:basedOn w:val="HeaderandFooter"/>
    <w:pPr>
      <w:suppressLineNumbers/>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cTitle">
    <w:name w:val="cTitle"/>
    <w:basedOn w:val="Heading1"/>
    <w:qFormat/>
    <w:pPr>
      <w:pageBreakBefore/>
      <w:numPr>
        <w:ilvl w:val="0"/>
        <w:numId w:val="0"/>
      </w:numPr>
      <w:pBdr>
        <w:bottom w:val="single" w:sz="2" w:space="1" w:color="000000"/>
      </w:pBdr>
      <w:jc w:val="center"/>
      <w:outlineLvl w:val="9"/>
    </w:pPr>
    <w:rPr>
      <w:rFonts w:ascii="Liberation Serif" w:hAnsi="Liberation Serif"/>
      <w:caps w:val="false"/>
      <w:smallCaps w:val="false"/>
    </w:rPr>
  </w:style>
  <w:style w:type="paragraph" w:styleId="date">
    <w:name w:val="date"/>
    <w:basedOn w:val="BodyText"/>
    <w:qFormat/>
    <w:pPr>
      <w:keepNext w:val="true"/>
      <w:keepLines/>
      <w:numPr>
        <w:ilvl w:val="0"/>
        <w:numId w:val="0"/>
      </w:numPr>
      <w:tabs>
        <w:tab w:val="clear" w:pos="709"/>
      </w:tabs>
      <w:spacing w:before="0" w:after="0"/>
    </w:pPr>
    <w:rPr>
      <w:rFonts w:ascii="Liberation Mono" w:hAnsi="Liberation Mono"/>
      <w:b/>
      <w:caps w:val="false"/>
      <w:smallCaps w:val="false"/>
      <w:sz w:val="25"/>
    </w:rPr>
  </w:style>
  <w:style w:type="paragraph" w:styleId="event">
    <w:name w:val="event"/>
    <w:basedOn w:val="Heading2"/>
    <w:qFormat/>
    <w:pPr>
      <w:numPr>
        <w:ilvl w:val="0"/>
        <w:numId w:val="0"/>
      </w:numPr>
      <w:spacing w:before="29" w:after="29"/>
      <w:outlineLvl w:val="9"/>
    </w:pPr>
    <w:rPr>
      <w:rFonts w:ascii="Liberation Mono" w:hAnsi="Liberation Mono"/>
      <w:caps w:val="false"/>
      <w:smallCaps w:val="false"/>
      <w:sz w:val="37"/>
    </w:rPr>
  </w:style>
  <w:style w:type="paragraph" w:styleId="aum">
    <w:name w:val="aum"/>
    <w:qFormat/>
    <w:pPr>
      <w:widowControl w:val="false"/>
      <w:kinsoku w:val="true"/>
      <w:overflowPunct w:val="true"/>
      <w:autoSpaceDE w:val="true"/>
      <w:bidi w:val="0"/>
      <w:spacing w:lineRule="auto" w:line="273" w:before="0" w:after="140"/>
      <w:ind w:hanging="0" w:left="0" w:right="0"/>
      <w:jc w:val="left"/>
    </w:pPr>
    <w:rPr>
      <w:rFonts w:ascii="Liberation Sans" w:hAnsi="Liberation Sans" w:eastAsia="Source Han Sans CN Regular" w:cs="Lohit Devanagari"/>
      <w:b/>
      <w:i/>
      <w:color w:val="auto"/>
      <w:kern w:val="2"/>
      <w:sz w:val="24"/>
      <w:szCs w:val="22"/>
      <w:lang w:val="en-US" w:eastAsia="zh-CN" w:bidi="hi-IN"/>
    </w:rPr>
  </w:style>
  <w:style w:type="paragraph" w:styleId="Numbering1Cont">
    <w:name w:val="Numbering 1 Cont."/>
    <w:basedOn w:val="List"/>
    <w:qFormat/>
    <w:pPr>
      <w:spacing w:before="0" w:after="120"/>
      <w:ind w:hanging="0" w:left="360"/>
    </w:pPr>
    <w:rPr/>
  </w:style>
  <w:style w:type="paragraph" w:styleId="nLia">
    <w:name w:val="nLia"/>
    <w:basedOn w:val="BodyText"/>
    <w:qFormat/>
    <w:pPr>
      <w:tabs>
        <w:tab w:val="clear" w:pos="709"/>
      </w:tabs>
      <w:suppressAutoHyphens w:val="false"/>
      <w:spacing w:lineRule="auto" w:line="360" w:before="0" w:after="144"/>
      <w:ind w:firstLine="144"/>
      <w:jc w:val="both"/>
    </w:pPr>
    <w:rPr>
      <w:rFonts w:ascii="Liberation Sans" w:hAnsi="Liberation Sans"/>
      <w:i/>
      <w:sz w:val="24"/>
    </w:rPr>
  </w:style>
  <w:style w:type="paragraph" w:styleId="cLia">
    <w:name w:val="cLia"/>
    <w:basedOn w:val="BodyText"/>
    <w:qFormat/>
    <w:pPr>
      <w:widowControl/>
      <w:spacing w:lineRule="auto" w:line="360" w:before="0" w:after="0"/>
      <w:ind w:hanging="0" w:left="0" w:right="0"/>
      <w:jc w:val="both"/>
    </w:pPr>
    <w:rPr>
      <w:rFonts w:ascii="Liberation Mono" w:hAnsi="Liberation Mono"/>
      <w:i/>
      <w:sz w:val="24"/>
    </w:rPr>
  </w:style>
  <w:style w:type="paragraph" w:styleId="samDiary">
    <w:name w:val="samDiary"/>
    <w:basedOn w:val="Text"/>
    <w:qFormat/>
    <w:pPr>
      <w:keepNext w:val="false"/>
      <w:widowControl/>
      <w:pBdr/>
      <w:spacing w:lineRule="auto" w:line="360" w:before="0" w:after="0"/>
      <w:ind w:hanging="0" w:left="0" w:right="0"/>
    </w:pPr>
    <w:rPr>
      <w:rFonts w:ascii="Liberation Mono" w:hAnsi="Liberation Mono"/>
      <w:b w:val="false"/>
      <w:i w:val="false"/>
      <w:sz w:val="24"/>
    </w:rPr>
  </w:style>
  <w:style w:type="paragraph" w:styleId="Text">
    <w:name w:val="Text"/>
    <w:basedOn w:val="Caption"/>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SF2</Template>
  <TotalTime>8</TotalTime>
  <Application>LibreOffice/24.2.7.2$Linux_X86_64 LibreOffice_project/420$Build-2</Application>
  <AppVersion>15.0000</AppVersion>
  <Pages>1</Pages>
  <Words>266</Words>
  <Characters>1331</Characters>
  <CharactersWithSpaces>1574</CharactersWithSpaces>
  <Paragraphs>27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2026-08-01T23:58:05Z</dcterms:created>
  <dc:creator>Len Berman</dc:creator>
  <dc:description/>
  <dc:language>en-US</dc:language>
  <cp:lastModifiedBy>Len Berman</cp:lastModifiedBy>
  <dcterms:modified xsi:type="dcterms:W3CDTF">2026-08-02T00:06:51Z</dcterms:modified>
  <cp:revision>2</cp:revision>
  <dc:subject/>
  <dc:title>SF2</dc:title>
</cp:coreProperties>
</file>