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Tenet Energy Inc.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75 Greene Street, Fl 2</w:t>
      </w:r>
    </w:p>
    <w:p w:rsidR="00000000" w:rsidDel="00000000" w:rsidP="00000000" w:rsidRDefault="00000000" w:rsidRPr="00000000" w14:paraId="00000004">
      <w:pPr>
        <w:rPr/>
      </w:pPr>
      <w:r w:rsidDel="00000000" w:rsidR="00000000" w:rsidRPr="00000000">
        <w:rPr>
          <w:rtl w:val="0"/>
        </w:rPr>
        <w:t xml:space="preserve">New York, NY 10012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Technical Assignment</w:t>
      </w:r>
    </w:p>
    <w:p w:rsidR="00000000" w:rsidDel="00000000" w:rsidP="00000000" w:rsidRDefault="00000000" w:rsidRPr="00000000" w14:paraId="00000007">
      <w:pPr>
        <w:rPr>
          <w:b w:val="1"/>
        </w:rPr>
      </w:pPr>
      <w:r w:rsidDel="00000000" w:rsidR="00000000" w:rsidRPr="00000000">
        <w:rPr>
          <w:b w:val="1"/>
          <w:rtl w:val="0"/>
        </w:rPr>
        <w:t xml:space="preserve">Role: Front End Engineering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Tenet we expect every team member to </w:t>
      </w:r>
      <w:r w:rsidDel="00000000" w:rsidR="00000000" w:rsidRPr="00000000">
        <w:rPr>
          <w:highlight w:val="white"/>
          <w:rtl w:val="0"/>
        </w:rPr>
        <w:t xml:space="preserve">roll up their sleeves and get things done, execute reliably with speed and precision, and communicate clearly and effectively.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Background</w:t>
      </w:r>
    </w:p>
    <w:p w:rsidR="00000000" w:rsidDel="00000000" w:rsidP="00000000" w:rsidRDefault="00000000" w:rsidRPr="00000000" w14:paraId="0000000C">
      <w:pPr>
        <w:rPr/>
      </w:pPr>
      <w:r w:rsidDel="00000000" w:rsidR="00000000" w:rsidRPr="00000000">
        <w:rPr>
          <w:rtl w:val="0"/>
        </w:rPr>
        <w:t xml:space="preserve">Tenet’s mission is to empower people to unlock financial opportunity through sustainable lifestyles. Engineering is core to our mission. We released the first version of our EV owner portal in Q4. Initially, members will be able to see their monetary and carbon savings from driving electric. The portal will encompass all aspects of EV ownership costs and become the go-to application for members following a sustainable lifestyle.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Task</w:t>
      </w:r>
    </w:p>
    <w:p w:rsidR="00000000" w:rsidDel="00000000" w:rsidP="00000000" w:rsidRDefault="00000000" w:rsidRPr="00000000" w14:paraId="0000000F">
      <w:pPr>
        <w:rPr/>
      </w:pPr>
      <w:r w:rsidDel="00000000" w:rsidR="00000000" w:rsidRPr="00000000">
        <w:rPr>
          <w:rtl w:val="0"/>
        </w:rPr>
        <w:t xml:space="preserve">You will create a small proof-of-concept of a calculation and accompanying interactive visualization that could be featured on our owner portal. You can choose how to present the information, but we recommend either showing CO2 emissions or cost savings generated by choosing an Electric SUV vs the provided benchmark gasoline vehicle (Audi Q7 at the top of the inputs.csv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are national average values for emissions and cost:</w:t>
      </w:r>
    </w:p>
    <w:tbl>
      <w:tblPr>
        <w:tblStyle w:val="Table1"/>
        <w:tblW w:w="651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170"/>
        <w:gridCol w:w="2160"/>
        <w:gridCol w:w="1380"/>
        <w:tblGridChange w:id="0">
          <w:tblGrid>
            <w:gridCol w:w="1800"/>
            <w:gridCol w:w="1170"/>
            <w:gridCol w:w="2160"/>
            <w:gridCol w:w="1380"/>
          </w:tblGrid>
        </w:tblGridChange>
      </w:tblGrid>
      <w:tr>
        <w:trPr>
          <w:cantSplit w:val="0"/>
          <w:trHeight w:val="25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sz w:val="20"/>
                <w:szCs w:val="20"/>
                <w:rtl w:val="0"/>
              </w:rPr>
              <w:t xml:space="preserve">lbs CO2/kWh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sz w:val="20"/>
                <w:szCs w:val="20"/>
                <w:rtl w:val="0"/>
              </w:rPr>
              <w:t xml:space="preserve">$/kWh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sz w:val="20"/>
                <w:szCs w:val="20"/>
                <w:rtl w:val="0"/>
              </w:rPr>
              <w:t xml:space="preserve">lbs CO2/gal gas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sz w:val="20"/>
                <w:szCs w:val="20"/>
                <w:rtl w:val="0"/>
              </w:rPr>
              <w:t xml:space="preserve">$/gal gas</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sz w:val="20"/>
                <w:szCs w:val="20"/>
                <w:rtl w:val="0"/>
              </w:rPr>
              <w:t xml:space="preserve">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sz w:val="20"/>
                <w:szCs w:val="20"/>
                <w:rtl w:val="0"/>
              </w:rPr>
              <w:t xml:space="preserve">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sz w:val="20"/>
                <w:szCs w:val="20"/>
                <w:rtl w:val="0"/>
              </w:rPr>
              <w:t xml:space="preserve">19.59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sz w:val="20"/>
                <w:szCs w:val="20"/>
                <w:rtl w:val="0"/>
              </w:rPr>
              <w:t xml:space="preserve">3.60</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simulate user data, the file trips.csv has some example inputs; the visualization should update according to which trip is selected in a dropdown menu. Each row of the file specifies the vehicle used for the trip data and the number of miles driven each month in that vehicle. You should “fetch” this data from a mock api. A quick example for reference: </w:t>
      </w:r>
      <w:hyperlink r:id="rId6">
        <w:r w:rsidDel="00000000" w:rsidR="00000000" w:rsidRPr="00000000">
          <w:rPr>
            <w:color w:val="1155cc"/>
            <w:u w:val="single"/>
            <w:rtl w:val="0"/>
          </w:rPr>
          <w:t xml:space="preserve">https://www.pluralsight.com/guides/react-mock-api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hope this task gives you a chance to demonstrate skills including:</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Front End Development: JavaScript/Typescript, React or similar library/framework</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Data Visualization: Presenting conclusions in a clear, logical way</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Good coding practices and time management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Guidelines</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Code can be delivered in a zip/tar file or git repository and either hosted in a demo environment or packaged with instructions for deployment</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Do not include any confidential or proprietary information in your response</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pos="4680"/>
        <w:tab w:val="right" w:pos="9360"/>
        <w:tab w:val="right" w:pos="10350"/>
      </w:tabs>
      <w:spacing w:line="24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2809875</wp:posOffset>
          </wp:positionH>
          <wp:positionV relativeFrom="paragraph">
            <wp:posOffset>122907</wp:posOffset>
          </wp:positionV>
          <wp:extent cx="325120" cy="325120"/>
          <wp:effectExtent b="0" l="0" r="0" t="0"/>
          <wp:wrapSquare wrapText="bothSides" distB="0" distT="0" distL="114300" distR="114300"/>
          <wp:docPr descr="Icon&#10;&#10;Description automatically generated" id="1" name="image1.jpg"/>
          <a:graphic>
            <a:graphicData uri="http://schemas.openxmlformats.org/drawingml/2006/picture">
              <pic:pic>
                <pic:nvPicPr>
                  <pic:cNvPr descr="Icon&#10;&#10;Description automatically generated" id="0" name="image1.jpg"/>
                  <pic:cNvPicPr preferRelativeResize="0"/>
                </pic:nvPicPr>
                <pic:blipFill>
                  <a:blip r:embed="rId1"/>
                  <a:srcRect b="0" l="0" r="0" t="0"/>
                  <a:stretch>
                    <a:fillRect/>
                  </a:stretch>
                </pic:blipFill>
                <pic:spPr>
                  <a:xfrm>
                    <a:off x="0" y="0"/>
                    <a:ext cx="325120" cy="325120"/>
                  </a:xfrm>
                  <a:prstGeom prst="rect"/>
                  <a:ln/>
                </pic:spPr>
              </pic:pic>
            </a:graphicData>
          </a:graphic>
        </wp:anchor>
      </w:drawing>
    </w:r>
  </w:p>
  <w:p w:rsidR="00000000" w:rsidDel="00000000" w:rsidP="00000000" w:rsidRDefault="00000000" w:rsidRPr="00000000" w14:paraId="00000026">
    <w:pPr>
      <w:tabs>
        <w:tab w:val="center" w:pos="4680"/>
        <w:tab w:val="right" w:pos="9360"/>
      </w:tabs>
      <w:spacing w:line="240" w:lineRule="auto"/>
      <w:ind w:right="-1440"/>
      <w:rPr>
        <w:rFonts w:ascii="Verdana" w:cs="Verdana" w:eastAsia="Verdana" w:hAnsi="Verdana"/>
      </w:rPr>
    </w:pPr>
    <w:r w:rsidDel="00000000" w:rsidR="00000000" w:rsidRPr="00000000">
      <w:rPr>
        <w:rFonts w:ascii="Verdana" w:cs="Verdana" w:eastAsia="Verdana" w:hAnsi="Verdana"/>
        <w:rtl w:val="0"/>
      </w:rPr>
      <w:t xml:space="preserve">Page </w:t>
    </w:r>
    <w:r w:rsidDel="00000000" w:rsidR="00000000" w:rsidRPr="00000000">
      <w:rPr>
        <w:rFonts w:ascii="Verdana" w:cs="Verdana" w:eastAsia="Verdana" w:hAnsi="Verdana"/>
        <w:b w:val="1"/>
      </w:rPr>
      <w:fldChar w:fldCharType="begin"/>
      <w:instrText xml:space="preserve">PAGE</w:instrText>
      <w:fldChar w:fldCharType="separate"/>
      <w:fldChar w:fldCharType="end"/>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b w:val="1"/>
      </w:rPr>
      <w:fldChar w:fldCharType="begin"/>
      <w:instrText xml:space="preserve">NUMPAGES</w:instrText>
      <w:fldChar w:fldCharType="separate"/>
      <w:fldChar w:fldCharType="end"/>
    </w:r>
    <w:r w:rsidDel="00000000" w:rsidR="00000000" w:rsidRPr="00000000">
      <w:rPr>
        <w:rFonts w:ascii="Verdana" w:cs="Verdana" w:eastAsia="Verdana" w:hAnsi="Verdana"/>
        <w:b w:val="1"/>
        <w:rtl w:val="0"/>
      </w:rPr>
      <w:tab/>
      <w:tab/>
    </w:r>
    <w:r w:rsidDel="00000000" w:rsidR="00000000" w:rsidRPr="00000000">
      <w:rPr>
        <w:rFonts w:ascii="Verdana" w:cs="Verdana" w:eastAsia="Verdana" w:hAnsi="Verdana"/>
        <w:rtl w:val="0"/>
      </w:rPr>
      <w:t xml:space="preserve">Tenet Confidential</w:t>
    </w:r>
  </w:p>
  <w:p w:rsidR="00000000" w:rsidDel="00000000" w:rsidP="00000000" w:rsidRDefault="00000000" w:rsidRPr="00000000" w14:paraId="00000027">
    <w:pPr>
      <w:ind w:right="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luralsight.com/guides/react-mock-api"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