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supporting-information-pc²-fedreorg"/>
    <w:p>
      <w:pPr>
        <w:pStyle w:val="Heading1"/>
      </w:pPr>
      <w:r>
        <w:t xml:space="preserve">Supporting Information — PC²-FedReorg</w:t>
      </w:r>
    </w:p>
    <w:p>
      <w:pPr>
        <w:pStyle w:val="FirstParagraph"/>
      </w:pPr>
      <w:r>
        <w:rPr>
          <w:bCs/>
          <w:b/>
        </w:rPr>
        <w:t xml:space="preserve">Manuscript:</w:t>
      </w:r>
      <w:r>
        <w:t xml:space="preserve"> </w:t>
      </w:r>
      <w:r>
        <w:rPr>
          <w:iCs/>
          <w:i/>
        </w:rPr>
        <w:t xml:space="preserve">Calibration-Aware Personalized Federated Learning for Molecular Reorganization Energy Prediction</w:t>
      </w:r>
    </w:p>
    <w:p>
      <w:pPr>
        <w:pStyle w:val="BodyText"/>
      </w:pPr>
      <w:r>
        <w:t xml:space="preserve">This document provides supporting material for the main manuscript: dataset and task-client definitions (S1), pre-verification analyses motivating the algorithmic choices (S2), model and implementation details (S3), the auditable transferability matrices (S4), full performance results (S5), paired statistical testing (S6), ablation studies (S7), per-molecule prediction artefacts (S8), a reproducibility checklist (S9), and a list of additional limitations (S10).</w:t>
      </w:r>
    </w:p>
    <w:p>
      <w:pPr>
        <w:pStyle w:val="BodyText"/>
      </w:pPr>
      <w:r>
        <w:t xml:space="preserve">All numerical artefacts referenced below are released alongside the manuscript at</w:t>
      </w:r>
      <w:r>
        <w:t xml:space="preserve"> </w:t>
      </w:r>
      <w:r>
        <w:rPr>
          <w:rStyle w:val="VerbatimChar"/>
        </w:rPr>
        <w:t xml:space="preserve">[repository URL — to be supplied]</w:t>
      </w:r>
      <w:r>
        <w:t xml:space="preserve"> </w:t>
      </w:r>
      <w:r>
        <w:t xml:space="preserve">and are also identified by their relative path in this codebase (e.g. </w:t>
      </w:r>
      <w:r>
        <w:rPr>
          <w:rStyle w:val="VerbatimChar"/>
        </w:rPr>
        <w:t xml:space="preserve">results/pc2_phase5_stats.csv</w:t>
      </w:r>
      <w:r>
        <w:t xml:space="preserve">).</w:t>
      </w:r>
    </w:p>
    <w:p>
      <w:r>
        <w:pict>
          <v:rect style="width:0;height:1.5pt" o:hralign="center" o:hrstd="t" o:hr="t"/>
        </w:pict>
      </w:r>
    </w:p>
    <w:bookmarkStart w:id="25" w:name="s1.-dataset-and-task-client-details"/>
    <w:p>
      <w:pPr>
        <w:pStyle w:val="Heading2"/>
      </w:pPr>
      <w:r>
        <w:t xml:space="preserve">S1. Dataset and task-client details</w:t>
      </w:r>
    </w:p>
    <w:bookmarkStart w:id="20" w:name="s1.1-five-task-client-nodes"/>
    <w:p>
      <w:pPr>
        <w:pStyle w:val="Heading3"/>
      </w:pPr>
      <w:r>
        <w:t xml:space="preserve">S1.1 Five task-client nodes</w:t>
      </w:r>
    </w:p>
    <w:p>
      <w:pPr>
        <w:pStyle w:val="FirstParagraph"/>
      </w:pPr>
      <w:r>
        <w:t xml:space="preserve">The federation comprises five nodes (Table 1, main text). Each node is defined not only by its underlying samples but also by the</w:t>
      </w:r>
      <w:r>
        <w:t xml:space="preserve"> </w:t>
      </w:r>
      <w:r>
        <w:rPr>
          <w:iCs/>
          <w:i/>
        </w:rPr>
        <w:t xml:space="preserve">quantity</w:t>
      </w:r>
      <w:r>
        <w:t xml:space="preserve"> </w:t>
      </w:r>
      <w:r>
        <w:t xml:space="preserve">it measures and the</w:t>
      </w:r>
      <w:r>
        <w:t xml:space="preserve"> </w:t>
      </w:r>
      <w:r>
        <w:rPr>
          <w:iCs/>
          <w:i/>
        </w:rPr>
        <w:t xml:space="preserve">DFT protocol</w:t>
      </w:r>
      <w:r>
        <w:t xml:space="preserve"> </w:t>
      </w:r>
      <w:r>
        <w:t xml:space="preserve">that produced its labels. We adopt the term</w:t>
      </w:r>
      <w:r>
        <w:t xml:space="preserve"> </w:t>
      </w:r>
      <w:r>
        <w:rPr>
          <w:bCs/>
          <w:b/>
        </w:rPr>
        <w:t xml:space="preserve">task-client</w:t>
      </w:r>
      <w:r>
        <w:t xml:space="preserve"> </w:t>
      </w:r>
      <w:r>
        <w:t xml:space="preserve">to make this distinction explicit: a single physical laboratory may host more than one task-client when it measures more than one physical quantity. The five quantities are all reorganization-energy-related but they are not interchangeable: A and B are cation-λ; C-hole and D are both hole-λ but at different DFT functionals (ωB97X-D vs. B3LYP) and different chemical spaces; C-triplet is a triplet-λ task. Pairwise head sharing across these distinct physical quantities is blocked by clause 1 of the head gate (Section S4).</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Task-client</w:t>
            </w:r>
          </w:p>
        </w:tc>
        <w:tc>
          <w:tcPr/>
          <w:p>
            <w:pPr>
              <w:pStyle w:val="Compact"/>
              <w:jc w:val="left"/>
            </w:pPr>
            <w:r>
              <w:t xml:space="preserve">Source</w:t>
            </w:r>
          </w:p>
        </w:tc>
        <w:tc>
          <w:tcPr/>
          <w:p>
            <w:pPr>
              <w:pStyle w:val="Compact"/>
              <w:jc w:val="left"/>
            </w:pPr>
            <w:r>
              <w:t xml:space="preserve">Physical quantity</w:t>
            </w:r>
          </w:p>
        </w:tc>
        <w:tc>
          <w:tcPr/>
          <w:p>
            <w:pPr>
              <w:pStyle w:val="Compact"/>
              <w:jc w:val="left"/>
            </w:pPr>
            <w:r>
              <w:t xml:space="preserve">n (after preprocessing)</w:t>
            </w:r>
          </w:p>
        </w:tc>
        <w:tc>
          <w:tcPr/>
          <w:p>
            <w:pPr>
              <w:pStyle w:val="Compact"/>
              <w:jc w:val="left"/>
            </w:pPr>
            <w:r>
              <w:t xml:space="preserve">Label mean ± SD (eV)</w:t>
            </w:r>
          </w:p>
        </w:tc>
        <w:tc>
          <w:tcPr/>
          <w:p>
            <w:pPr>
              <w:pStyle w:val="Compact"/>
              <w:jc w:val="left"/>
            </w:pPr>
            <w:r>
              <w:t xml:space="preserve">Label range (eV)</w:t>
            </w:r>
          </w:p>
        </w:tc>
      </w:tr>
      <w:tr>
        <w:tc>
          <w:tcPr/>
          <w:p>
            <w:pPr>
              <w:pStyle w:val="Compact"/>
              <w:jc w:val="left"/>
            </w:pPr>
            <w:r>
              <w:t xml:space="preserve">A</w:t>
            </w:r>
          </w:p>
        </w:tc>
        <w:tc>
          <w:tcPr/>
          <w:p>
            <w:pPr>
              <w:pStyle w:val="Compact"/>
              <w:jc w:val="left"/>
            </w:pPr>
            <w:r>
              <w:t xml:space="preserve">QM9 non-aromatic public split</w:t>
            </w:r>
          </w:p>
        </w:tc>
        <w:tc>
          <w:tcPr/>
          <w:p>
            <w:pPr>
              <w:pStyle w:val="Compact"/>
              <w:jc w:val="left"/>
            </w:pPr>
            <w:r>
              <w:t xml:space="preserve">cation reorganization energy</w:t>
            </w:r>
          </w:p>
        </w:tc>
        <w:tc>
          <w:tcPr/>
          <w:p>
            <w:pPr>
              <w:pStyle w:val="Compact"/>
              <w:jc w:val="left"/>
            </w:pPr>
            <w:r>
              <w:t xml:space="preserve">6,020</w:t>
            </w:r>
          </w:p>
        </w:tc>
        <w:tc>
          <w:tcPr/>
          <w:p>
            <w:pPr>
              <w:pStyle w:val="Compact"/>
              <w:jc w:val="left"/>
            </w:pPr>
            <w:r>
              <w:t xml:space="preserve">0.821 ± 0.422</w:t>
            </w:r>
          </w:p>
        </w:tc>
        <w:tc>
          <w:tcPr/>
          <w:p>
            <w:pPr>
              <w:pStyle w:val="Compact"/>
              <w:jc w:val="left"/>
            </w:pPr>
            <w:r>
              <w:t xml:space="preserve">0.021 – 2.939</w:t>
            </w:r>
          </w:p>
        </w:tc>
      </w:tr>
      <w:tr>
        <w:tc>
          <w:tcPr/>
          <w:p>
            <w:pPr>
              <w:pStyle w:val="Compact"/>
              <w:jc w:val="left"/>
            </w:pPr>
            <w:r>
              <w:t xml:space="preserve">B</w:t>
            </w:r>
          </w:p>
        </w:tc>
        <w:tc>
          <w:tcPr/>
          <w:p>
            <w:pPr>
              <w:pStyle w:val="Compact"/>
              <w:jc w:val="left"/>
            </w:pPr>
            <w:r>
              <w:t xml:space="preserve">QM9 aromatic public split</w:t>
            </w:r>
          </w:p>
        </w:tc>
        <w:tc>
          <w:tcPr/>
          <w:p>
            <w:pPr>
              <w:pStyle w:val="Compact"/>
              <w:jc w:val="left"/>
            </w:pPr>
            <w:r>
              <w:t xml:space="preserve">cation reorganization energy</w:t>
            </w:r>
          </w:p>
        </w:tc>
        <w:tc>
          <w:tcPr/>
          <w:p>
            <w:pPr>
              <w:pStyle w:val="Compact"/>
              <w:jc w:val="left"/>
            </w:pPr>
            <w:r>
              <w:t xml:space="preserve">9,190</w:t>
            </w:r>
          </w:p>
        </w:tc>
        <w:tc>
          <w:tcPr/>
          <w:p>
            <w:pPr>
              <w:pStyle w:val="Compact"/>
              <w:jc w:val="left"/>
            </w:pPr>
            <w:r>
              <w:t xml:space="preserve">0.658 ± 0.319</w:t>
            </w:r>
          </w:p>
        </w:tc>
        <w:tc>
          <w:tcPr/>
          <w:p>
            <w:pPr>
              <w:pStyle w:val="Compact"/>
              <w:jc w:val="left"/>
            </w:pPr>
            <w:r>
              <w:t xml:space="preserve">0.011 – 2.680</w:t>
            </w:r>
          </w:p>
        </w:tc>
      </w:tr>
      <w:tr>
        <w:tc>
          <w:tcPr/>
          <w:p>
            <w:pPr>
              <w:pStyle w:val="Compact"/>
              <w:jc w:val="left"/>
            </w:pPr>
            <w:r>
              <w:t xml:space="preserve">C-hole</w:t>
            </w:r>
          </w:p>
        </w:tc>
        <w:tc>
          <w:tcPr/>
          <w:p>
            <w:pPr>
              <w:pStyle w:val="Compact"/>
              <w:jc w:val="left"/>
            </w:pPr>
            <w:r>
              <w:t xml:space="preserve">in-house TADF laboratory</w:t>
            </w:r>
          </w:p>
        </w:tc>
        <w:tc>
          <w:tcPr/>
          <w:p>
            <w:pPr>
              <w:pStyle w:val="Compact"/>
              <w:jc w:val="left"/>
            </w:pPr>
            <w:r>
              <w:t xml:space="preserve">hole reorganization energy (neutral → cation, ωB97X-D)</w:t>
            </w:r>
          </w:p>
        </w:tc>
        <w:tc>
          <w:tcPr/>
          <w:p>
            <w:pPr>
              <w:pStyle w:val="Compact"/>
              <w:jc w:val="left"/>
            </w:pPr>
            <w:r>
              <w:t xml:space="preserve">53</w:t>
            </w:r>
          </w:p>
        </w:tc>
        <w:tc>
          <w:tcPr/>
          <w:p>
            <w:pPr>
              <w:pStyle w:val="Compact"/>
              <w:jc w:val="left"/>
            </w:pPr>
            <w:r>
              <w:t xml:space="preserve">1.215 ± 0.496</w:t>
            </w:r>
          </w:p>
        </w:tc>
        <w:tc>
          <w:tcPr/>
          <w:p>
            <w:pPr>
              <w:pStyle w:val="Compact"/>
              <w:jc w:val="left"/>
            </w:pPr>
            <w:r>
              <w:t xml:space="preserve">0.449 – 3.004</w:t>
            </w:r>
          </w:p>
        </w:tc>
      </w:tr>
      <w:tr>
        <w:tc>
          <w:tcPr/>
          <w:p>
            <w:pPr>
              <w:pStyle w:val="Compact"/>
              <w:jc w:val="left"/>
            </w:pPr>
            <w:r>
              <w:t xml:space="preserve">C-triplet</w:t>
            </w:r>
          </w:p>
        </w:tc>
        <w:tc>
          <w:tcPr/>
          <w:p>
            <w:pPr>
              <w:pStyle w:val="Compact"/>
              <w:jc w:val="left"/>
            </w:pPr>
            <w:r>
              <w:t xml:space="preserve">in-house TADF laboratory</w:t>
            </w:r>
          </w:p>
        </w:tc>
        <w:tc>
          <w:tcPr/>
          <w:p>
            <w:pPr>
              <w:pStyle w:val="Compact"/>
              <w:jc w:val="left"/>
            </w:pPr>
            <w:r>
              <w:t xml:space="preserve">triplet reorganization energy (neutral → T₁, ωB97X-D)</w:t>
            </w:r>
          </w:p>
        </w:tc>
        <w:tc>
          <w:tcPr/>
          <w:p>
            <w:pPr>
              <w:pStyle w:val="Compact"/>
              <w:jc w:val="left"/>
            </w:pPr>
            <w:r>
              <w:t xml:space="preserve">49</w:t>
            </w:r>
          </w:p>
        </w:tc>
        <w:tc>
          <w:tcPr/>
          <w:p>
            <w:pPr>
              <w:pStyle w:val="Compact"/>
              <w:jc w:val="left"/>
            </w:pPr>
            <w:r>
              <w:t xml:space="preserve">2.638 ± 0.745</w:t>
            </w:r>
          </w:p>
        </w:tc>
        <w:tc>
          <w:tcPr/>
          <w:p>
            <w:pPr>
              <w:pStyle w:val="Compact"/>
              <w:jc w:val="left"/>
            </w:pPr>
            <w:r>
              <w:t xml:space="preserve">1.047 – 4.273</w:t>
            </w:r>
          </w:p>
        </w:tc>
      </w:tr>
      <w:tr>
        <w:tc>
          <w:tcPr/>
          <w:p>
            <w:pPr>
              <w:pStyle w:val="Compact"/>
              <w:jc w:val="left"/>
            </w:pPr>
            <w:r>
              <w:t xml:space="preserve">D</w:t>
            </w:r>
          </w:p>
        </w:tc>
        <w:tc>
          <w:tcPr/>
          <w:p>
            <w:pPr>
              <w:pStyle w:val="Compact"/>
              <w:jc w:val="left"/>
            </w:pPr>
            <w:r>
              <w:t xml:space="preserve">Atahan-Evrenk 2019</w:t>
            </w:r>
          </w:p>
        </w:tc>
        <w:tc>
          <w:tcPr/>
          <w:p>
            <w:pPr>
              <w:pStyle w:val="Compact"/>
              <w:jc w:val="left"/>
            </w:pPr>
            <w:r>
              <w:t xml:space="preserve">hole reorganization energy (conjugated organic semiconductors, B3LYP/6-31G*)</w:t>
            </w:r>
          </w:p>
        </w:tc>
        <w:tc>
          <w:tcPr/>
          <w:p>
            <w:pPr>
              <w:pStyle w:val="Compact"/>
              <w:jc w:val="left"/>
            </w:pPr>
            <w:r>
              <w:t xml:space="preserve">5,876</w:t>
            </w:r>
          </w:p>
        </w:tc>
        <w:tc>
          <w:tcPr/>
          <w:p>
            <w:pPr>
              <w:pStyle w:val="Compact"/>
              <w:jc w:val="left"/>
            </w:pPr>
            <w:r>
              <w:t xml:space="preserve">0.258 ± 0.048</w:t>
            </w:r>
          </w:p>
        </w:tc>
        <w:tc>
          <w:tcPr/>
          <w:p>
            <w:pPr>
              <w:pStyle w:val="Compact"/>
              <w:jc w:val="left"/>
            </w:pPr>
            <w:r>
              <w:t xml:space="preserve">0.076 – 0.870</w:t>
            </w:r>
          </w:p>
        </w:tc>
      </w:tr>
    </w:tbl>
    <w:p>
      <w:pPr>
        <w:pStyle w:val="BodyText"/>
      </w:pPr>
      <w:r>
        <w:t xml:space="preserve">Per-node statistics are taken from</w:t>
      </w:r>
      <w:r>
        <w:t xml:space="preserve"> </w:t>
      </w:r>
      <w:r>
        <w:rPr>
          <w:rStyle w:val="VerbatimChar"/>
        </w:rPr>
        <w:t xml:space="preserve">results/preverify/T_transferability.json</w:t>
      </w:r>
      <w:r>
        <w:t xml:space="preserve"> </w:t>
      </w:r>
      <w:r>
        <w:t xml:space="preserve">(keys</w:t>
      </w:r>
      <w:r>
        <w:t xml:space="preserve"> </w:t>
      </w:r>
      <w:r>
        <w:rPr>
          <w:rStyle w:val="VerbatimChar"/>
        </w:rPr>
        <w:t xml:space="preserve">n_kept</w:t>
      </w:r>
      <w:r>
        <w:t xml:space="preserve">,</w:t>
      </w:r>
      <w:r>
        <w:t xml:space="preserve"> </w:t>
      </w:r>
      <w:r>
        <w:rPr>
          <w:rStyle w:val="VerbatimChar"/>
        </w:rPr>
        <w:t xml:space="preserve">label_means</w:t>
      </w:r>
      <w:r>
        <w:t xml:space="preserve">,</w:t>
      </w:r>
      <w:r>
        <w:t xml:space="preserve"> </w:t>
      </w:r>
      <w:r>
        <w:rPr>
          <w:rStyle w:val="VerbatimChar"/>
        </w:rPr>
        <w:t xml:space="preserve">label_stds</w:t>
      </w:r>
      <w:r>
        <w:t xml:space="preserve">).</w:t>
      </w:r>
    </w:p>
    <w:bookmarkEnd w:id="20"/>
    <w:bookmarkStart w:id="21" w:name="X9b5c0f5419626b78cab9d9f94d18f7d5bb71fc9"/>
    <w:p>
      <w:pPr>
        <w:pStyle w:val="Heading3"/>
      </w:pPr>
      <w:r>
        <w:t xml:space="preserve">S1.2 Why A and B are cation-λ, C is hole/triplet, D is hole-λ</w:t>
      </w:r>
    </w:p>
    <w:p>
      <w:pPr>
        <w:numPr>
          <w:ilvl w:val="0"/>
          <w:numId w:val="1001"/>
        </w:numPr>
        <w:pStyle w:val="Compact"/>
      </w:pPr>
      <w:r>
        <w:rPr>
          <w:bCs/>
          <w:b/>
        </w:rPr>
        <w:t xml:space="preserve">A / B (QM9 public):</w:t>
      </w:r>
      <w:r>
        <w:t xml:space="preserve"> </w:t>
      </w:r>
      <w:r>
        <w:t xml:space="preserve">the public QM9-derived reorganization-energy split is computed as a cation reorganization energy at B3LYP/6-31G* by previous work on the same compound set. We further split QM9 by aromatic-ring count (</w:t>
      </w:r>
      <w:r>
        <w:rPr>
          <w:rStyle w:val="VerbatimChar"/>
        </w:rPr>
        <w:t xml:space="preserve">Chem.rdMolDescriptors.CalcNumAromaticRings</w:t>
      </w:r>
      <w:r>
        <w:t xml:space="preserve">) into a non-aromatic subset (A, n = 6,020) and an aromatic subset (B, n = 9,190), since the resulting label distributions differ enough to be informative as separate clients. Both clients share the same B3LYP/6-31G* protocol.</w:t>
      </w:r>
    </w:p>
    <w:p>
      <w:pPr>
        <w:numPr>
          <w:ilvl w:val="0"/>
          <w:numId w:val="1001"/>
        </w:numPr>
        <w:pStyle w:val="Compact"/>
      </w:pPr>
      <w:r>
        <w:rPr>
          <w:bCs/>
          <w:b/>
        </w:rPr>
        <w:t xml:space="preserve">C-hole / C-triplet (in-house TADF):</w:t>
      </w:r>
      <w:r>
        <w:t xml:space="preserve"> </w:t>
      </w:r>
      <w:r>
        <w:t xml:space="preserve">the in-house laboratory provides per-molecule reorganization energies computed at ωB97X-D using the adiabatic four-point Nelsen protocol with one conformer per molecule. Two physical quantities are measured: the hole reorganization energy (neutral → cation, with hole-relevant geometry relaxation) and the triplet reorganization energy (neutral → T₁). After dropping rows with missing values, n = 53 for the hole-λ target and n = 49 for the triplet-λ target. The two subsets share most underlying molecular scaffolds.</w:t>
      </w:r>
    </w:p>
    <w:p>
      <w:pPr>
        <w:numPr>
          <w:ilvl w:val="0"/>
          <w:numId w:val="1001"/>
        </w:numPr>
        <w:pStyle w:val="Compact"/>
      </w:pPr>
      <w:r>
        <w:rPr>
          <w:bCs/>
          <w:b/>
        </w:rPr>
        <w:t xml:space="preserve">D (Atahan-Evrenk 2019):</w:t>
      </w:r>
      <w:r>
        <w:t xml:space="preserve"> </w:t>
      </w:r>
      <w:r>
        <w:t xml:space="preserve">the published conjugated-organic-semiconductor dataset reports hole reorganization energy at B3LYP/6-31G*. The dataset specifies the functional and basis but does not record geometry treatment, charge-state handling, or conformer policy in machine-readable form.</w:t>
      </w:r>
    </w:p>
    <w:bookmarkEnd w:id="21"/>
    <w:bookmarkStart w:id="22" w:name="s1.3-task-client-versus-physical-client"/>
    <w:p>
      <w:pPr>
        <w:pStyle w:val="Heading3"/>
      </w:pPr>
      <w:r>
        <w:t xml:space="preserve">S1.3 Task-client versus physical client</w:t>
      </w:r>
    </w:p>
    <w:p>
      <w:pPr>
        <w:pStyle w:val="FirstParagraph"/>
      </w:pPr>
      <w:r>
        <w:t xml:space="preserve">A</w:t>
      </w:r>
      <w:r>
        <w:t xml:space="preserve"> </w:t>
      </w:r>
      <w:r>
        <w:rPr>
          <w:iCs/>
          <w:i/>
        </w:rPr>
        <w:t xml:space="preserve">physical client</w:t>
      </w:r>
      <w:r>
        <w:t xml:space="preserve"> </w:t>
      </w:r>
      <w:r>
        <w:t xml:space="preserve">corresponds to a single data-providing entity (a laboratory, a public dataset, etc.). A</w:t>
      </w:r>
      <w:r>
        <w:t xml:space="preserve"> </w:t>
      </w:r>
      <w:r>
        <w:rPr>
          <w:iCs/>
          <w:i/>
        </w:rPr>
        <w:t xml:space="preserve">task-client</w:t>
      </w:r>
      <w:r>
        <w:t xml:space="preserve"> </w:t>
      </w:r>
      <w:r>
        <w:t xml:space="preserve">additionally carries the physical quantity and DFT protocol as part of its identity. In our federation, A, B and D each map to one task-client; the in-house TADF laboratory maps to two task-clients (C-hole and C-triplet) because it measures two distinct physical quantities under the same general protocol. The decision affects:</w:t>
      </w:r>
    </w:p>
    <w:p>
      <w:pPr>
        <w:numPr>
          <w:ilvl w:val="0"/>
          <w:numId w:val="1002"/>
        </w:numPr>
        <w:pStyle w:val="Compact"/>
      </w:pPr>
      <w:r>
        <w:t xml:space="preserve">Aggregation routing — separate task-clients have separate state-dict, optimizer state, and (μ, σ) calibration buffer.</w:t>
      </w:r>
    </w:p>
    <w:p>
      <w:pPr>
        <w:numPr>
          <w:ilvl w:val="0"/>
          <w:numId w:val="1002"/>
        </w:numPr>
        <w:pStyle w:val="Compact"/>
      </w:pPr>
      <w:r>
        <w:t xml:space="preserve">Head sharing — quantity-mismatched task-clients have T_head = 0 by construction (Section S4).</w:t>
      </w:r>
    </w:p>
    <w:p>
      <w:pPr>
        <w:numPr>
          <w:ilvl w:val="0"/>
          <w:numId w:val="1002"/>
        </w:numPr>
        <w:pStyle w:val="Compact"/>
      </w:pPr>
      <w:r>
        <w:t xml:space="preserve">Calibration installation — each task-client installs its own (μ, σ) from its own training fold, independent of any other client.</w:t>
      </w:r>
    </w:p>
    <w:p>
      <w:pPr>
        <w:pStyle w:val="FirstParagraph"/>
      </w:pPr>
      <w:r>
        <w:t xml:space="preserve">The task-client abstraction is therefore a modeling decision, not a data-collection decision: it does not change which DFT logs are read or how molecules are graphed.</w:t>
      </w:r>
    </w:p>
    <w:bookmarkEnd w:id="22"/>
    <w:bookmarkStart w:id="23" w:name="X19862f9548f8de614c08143b044f43f7359d73e"/>
    <w:p>
      <w:pPr>
        <w:pStyle w:val="Heading3"/>
      </w:pPr>
      <w:r>
        <w:t xml:space="preserve">S1.4 Label distributions and representative molecules</w:t>
      </w:r>
    </w:p>
    <w:p>
      <w:pPr>
        <w:pStyle w:val="FirstParagraph"/>
      </w:pPr>
      <w:r>
        <w:t xml:space="preserve">Per-node label distributions are shown in main-text Figure 1b. The label scales span an order of magnitude (D mean 0.258 eV; C-triplet mean 2.638 eV; ratio 10.2×). The five representative molecules shown in Figure 1a were selected by a deterministic rule — the molecule whose label is closest to the per-node median — implemented in</w:t>
      </w:r>
      <w:r>
        <w:t xml:space="preserve"> </w:t>
      </w:r>
      <w:r>
        <w:rPr>
          <w:rStyle w:val="VerbatimChar"/>
        </w:rPr>
        <w:t xml:space="preserve">paper/make_figures.py:select_representative</w:t>
      </w:r>
      <w:r>
        <w:t xml:space="preserve">. The chosen SMILES are recorded in the standard output of</w:t>
      </w:r>
      <w:r>
        <w:t xml:space="preserve"> </w:t>
      </w:r>
      <w:r>
        <w:rPr>
          <w:rStyle w:val="VerbatimChar"/>
        </w:rPr>
        <w:t xml:space="preserve">paper/make_figures.py</w:t>
      </w:r>
      <w:r>
        <w:t xml:space="preserve"> </w:t>
      </w:r>
      <w:r>
        <w:t xml:space="preserve">and are:</w:t>
      </w:r>
    </w:p>
    <w:p>
      <w:pPr>
        <w:numPr>
          <w:ilvl w:val="0"/>
          <w:numId w:val="1003"/>
        </w:numPr>
        <w:pStyle w:val="Compact"/>
      </w:pPr>
      <w:r>
        <w:t xml:space="preserve">A:</w:t>
      </w:r>
      <w:r>
        <w:t xml:space="preserve"> </w:t>
      </w:r>
      <w:r>
        <w:rPr>
          <w:rStyle w:val="VerbatimChar"/>
        </w:rPr>
        <w:t xml:space="preserve">C#CC#CC(=O)C1CC1</w:t>
      </w:r>
      <w:r>
        <w:t xml:space="preserve">, λ = 0.733 eV</w:t>
      </w:r>
    </w:p>
    <w:p>
      <w:pPr>
        <w:numPr>
          <w:ilvl w:val="0"/>
          <w:numId w:val="1003"/>
        </w:numPr>
        <w:pStyle w:val="Compact"/>
      </w:pPr>
      <w:r>
        <w:t xml:space="preserve">B:</w:t>
      </w:r>
      <w:r>
        <w:t xml:space="preserve"> </w:t>
      </w:r>
      <w:r>
        <w:rPr>
          <w:rStyle w:val="VerbatimChar"/>
        </w:rPr>
        <w:t xml:space="preserve">Nc1nc(O)nc(=O)[nH]1</w:t>
      </w:r>
      <w:r>
        <w:t xml:space="preserve">, λ = 0.583 eV</w:t>
      </w:r>
    </w:p>
    <w:p>
      <w:pPr>
        <w:numPr>
          <w:ilvl w:val="0"/>
          <w:numId w:val="1003"/>
        </w:numPr>
        <w:pStyle w:val="Compact"/>
      </w:pPr>
      <w:r>
        <w:t xml:space="preserve">C-hole:</w:t>
      </w:r>
      <w:r>
        <w:t xml:space="preserve"> </w:t>
      </w:r>
      <w:r>
        <w:rPr>
          <w:rStyle w:val="VerbatimChar"/>
        </w:rPr>
        <w:t xml:space="preserve">N#CC1=C(C#N)C1=C1C(O)=CC=C1O</w:t>
      </w:r>
      <w:r>
        <w:t xml:space="preserve">, λ_h = 1.057 eV</w:t>
      </w:r>
    </w:p>
    <w:p>
      <w:pPr>
        <w:numPr>
          <w:ilvl w:val="0"/>
          <w:numId w:val="1003"/>
        </w:numPr>
        <w:pStyle w:val="Compact"/>
      </w:pPr>
      <w:r>
        <w:t xml:space="preserve">C-triplet:</w:t>
      </w:r>
      <w:r>
        <w:t xml:space="preserve"> </w:t>
      </w:r>
      <w:r>
        <w:rPr>
          <w:rStyle w:val="VerbatimChar"/>
        </w:rPr>
        <w:t xml:space="preserve">NC1=CC=C(N)C1=C1C=CC=CC=C1</w:t>
      </w:r>
      <w:r>
        <w:t xml:space="preserve">, λ_T = 2.747 eV</w:t>
      </w:r>
    </w:p>
    <w:p>
      <w:pPr>
        <w:numPr>
          <w:ilvl w:val="0"/>
          <w:numId w:val="1003"/>
        </w:numPr>
        <w:pStyle w:val="Compact"/>
      </w:pPr>
      <w:r>
        <w:t xml:space="preserve">D:</w:t>
      </w:r>
      <w:r>
        <w:t xml:space="preserve"> </w:t>
      </w:r>
      <w:r>
        <w:rPr>
          <w:rStyle w:val="VerbatimChar"/>
        </w:rPr>
        <w:t xml:space="preserve">c1ccc2c(c1)Cc1c3cnc4ccCc4c3[nH]c21</w:t>
      </w:r>
      <w:r>
        <w:t xml:space="preserve">, λ_h = 0.264 eV</w:t>
      </w:r>
    </w:p>
    <w:p>
      <w:pPr>
        <w:pStyle w:val="FirstParagraph"/>
      </w:pPr>
      <w:r>
        <w:t xml:space="preserve">No representative was chosen by hand.</w:t>
      </w:r>
    </w:p>
    <w:bookmarkEnd w:id="23"/>
    <w:bookmarkStart w:id="24" w:name="s1.5-protocol-metadata"/>
    <w:p>
      <w:pPr>
        <w:pStyle w:val="Heading3"/>
      </w:pPr>
      <w:r>
        <w:t xml:space="preserve">S1.5 Protocol metadata</w:t>
      </w:r>
    </w:p>
    <w:p>
      <w:pPr>
        <w:pStyle w:val="FirstParagraph"/>
      </w:pPr>
      <w:r>
        <w:t xml:space="preserve">Full per-node protocol metadata (functional, basis, geometry treatment, charge state, conformer policy) is persisted as</w:t>
      </w:r>
      <w:r>
        <w:t xml:space="preserve"> </w:t>
      </w:r>
      <w:r>
        <w:rPr>
          <w:rStyle w:val="VerbatimChar"/>
        </w:rPr>
        <w:t xml:space="preserve">results/preverify/T_transferability.json:protocol_meta</w:t>
      </w:r>
      <w:r>
        <w:t xml:space="preserve">. Clients A and B are derived from a single public QM9 cation-reorganization-energy source and share</w:t>
      </w:r>
      <w:r>
        <w:t xml:space="preserve"> </w:t>
      </w:r>
      <w:r>
        <w:rPr>
          <w:rStyle w:val="VerbatimChar"/>
        </w:rPr>
        <w:t xml:space="preserve">source_id</w:t>
      </w:r>
      <w:r>
        <w:t xml:space="preserve">; their pairwise head-sharing is therefore governed by the same-source shortcut in clause 3 of the head gate (Section S4), which fires</w:t>
      </w:r>
      <w:r>
        <w:t xml:space="preserve"> </w:t>
      </w:r>
      <w:r>
        <w:rPr>
          <w:iCs/>
          <w:i/>
        </w:rPr>
        <w:t xml:space="preserve">before</w:t>
      </w:r>
      <w:r>
        <w:t xml:space="preserve"> </w:t>
      </w:r>
      <w:r>
        <w:t xml:space="preserve">clauses 2 and 3 of the per-field checks and does not require the auxiliary fields to be populated — the per-field entries in main-text Table 1 are accordingly shown as</w:t>
      </w:r>
      <w:r>
        <w:t xml:space="preserve"> </w:t>
      </w:r>
      <w:r>
        <w:t xml:space="preserve">“</w:t>
      </w:r>
      <w:r>
        <w:t xml:space="preserve">— (same-source)</w:t>
      </w:r>
      <w:r>
        <w:t xml:space="preserve">”</w:t>
      </w:r>
      <w:r>
        <w:t xml:space="preserve">. Unknown fields are reserved for cases where the same-source shortcut does not apply: D’s</w:t>
      </w:r>
      <w:r>
        <w:t xml:space="preserve"> </w:t>
      </w:r>
      <w:r>
        <w:rPr>
          <w:rStyle w:val="VerbatimChar"/>
        </w:rPr>
        <w:t xml:space="preserve">geometry</w:t>
      </w:r>
      <w:r>
        <w:t xml:space="preserve">,</w:t>
      </w:r>
      <w:r>
        <w:t xml:space="preserve"> </w:t>
      </w:r>
      <w:r>
        <w:rPr>
          <w:rStyle w:val="VerbatimChar"/>
        </w:rPr>
        <w:t xml:space="preserve">charge_state</w:t>
      </w:r>
      <w:r>
        <w:t xml:space="preserve">, and</w:t>
      </w:r>
      <w:r>
        <w:t xml:space="preserve"> </w:t>
      </w:r>
      <w:r>
        <w:rPr>
          <w:rStyle w:val="VerbatimChar"/>
        </w:rPr>
        <w:t xml:space="preserve">conformers</w:t>
      </w:r>
      <w:r>
        <w:t xml:space="preserve"> </w:t>
      </w:r>
      <w:r>
        <w:t xml:space="preserve">are tagged</w:t>
      </w:r>
      <w:r>
        <w:t xml:space="preserve"> </w:t>
      </w:r>
      <w:r>
        <w:rPr>
          <w:rStyle w:val="VerbatimChar"/>
        </w:rPr>
        <w:t xml:space="preserve">"unknown"</w:t>
      </w:r>
      <w:r>
        <w:t xml:space="preserve"> </w:t>
      </w:r>
      <w:r>
        <w:t xml:space="preserve">(the published source provides only functional and basis), and C’s</w:t>
      </w:r>
      <w:r>
        <w:t xml:space="preserve"> </w:t>
      </w:r>
      <w:r>
        <w:rPr>
          <w:rStyle w:val="VerbatimChar"/>
        </w:rPr>
        <w:t xml:space="preserve">basis</w:t>
      </w:r>
      <w:r>
        <w:t xml:space="preserve"> </w:t>
      </w:r>
      <w:r>
        <w:t xml:space="preserve">field is not exposed in the in-house CSV used here. These three genuinely missing fields trigger clause 2 of the head gate (Section S4) wherever the shortcut does not fire.</w:t>
      </w:r>
    </w:p>
    <w:p>
      <w:r>
        <w:pict>
          <v:rect style="width:0;height:1.5pt" o:hralign="center" o:hrstd="t" o:hr="t"/>
        </w:pict>
      </w:r>
    </w:p>
    <w:bookmarkEnd w:id="24"/>
    <w:bookmarkEnd w:id="25"/>
    <w:bookmarkStart w:id="30" w:name="X67a5c63ba9e3de9bd2a27fc58b2aa9d65162745"/>
    <w:p>
      <w:pPr>
        <w:pStyle w:val="Heading2"/>
      </w:pPr>
      <w:r>
        <w:t xml:space="preserve">S2. Pre-verification before transfer (V1 / V2 / V3)</w:t>
      </w:r>
    </w:p>
    <w:p>
      <w:pPr>
        <w:pStyle w:val="FirstParagraph"/>
      </w:pPr>
      <w:r>
        <w:t xml:space="preserve">Three independent pre-verification analyses were performed before the federated experiments. These analyses are</w:t>
      </w:r>
      <w:r>
        <w:t xml:space="preserve"> </w:t>
      </w:r>
      <w:r>
        <w:rPr>
          <w:bCs/>
          <w:b/>
        </w:rPr>
        <w:t xml:space="preserve">not failure reports</w:t>
      </w:r>
      <w:r>
        <w:t xml:space="preserve">: they are evidence-gathering steps that motivated the task-client modeling, the conservative T_head clauses, and the per-task-client calibration. We summarize the analyses here.</w:t>
      </w:r>
    </w:p>
    <w:bookmarkStart w:id="26" w:name="X244c39fbfeccac837edcad49b06291171faa593"/>
    <w:p>
      <w:pPr>
        <w:pStyle w:val="Heading3"/>
      </w:pPr>
      <w:r>
        <w:t xml:space="preserve">S2.1 V1: label and protocol divergence between D and C</w:t>
      </w:r>
    </w:p>
    <w:p>
      <w:pPr>
        <w:pStyle w:val="FirstParagraph"/>
      </w:pPr>
      <w:r>
        <w:t xml:space="preserve">For each ordered pair (D, C-hole) and (D, C-triplet) we ran a two-sample Kolmogorov–Smirnov test on the label distributions, plus a side-by-side comparison of DFT-protocol fields:</w:t>
      </w:r>
    </w:p>
    <w:p>
      <w:pPr>
        <w:numPr>
          <w:ilvl w:val="0"/>
          <w:numId w:val="1004"/>
        </w:numPr>
        <w:pStyle w:val="Compact"/>
      </w:pPr>
      <w:r>
        <w:t xml:space="preserve">D-hole-λ vs. C-hole-λ: KS p ≈ 1.1 × 10⁻¹¹⁶ (label distributions disjoint in mean, range, and shape).</w:t>
      </w:r>
    </w:p>
    <w:p>
      <w:pPr>
        <w:numPr>
          <w:ilvl w:val="0"/>
          <w:numId w:val="1004"/>
        </w:numPr>
        <w:pStyle w:val="Compact"/>
      </w:pPr>
      <w:r>
        <w:t xml:space="preserve">DFT-protocol divergence: D uses B3LYP/6-31G* with abstract-only metadata; C-hole uses ωB97X-D with the four-point Nelsen geometry treatment.</w:t>
      </w:r>
    </w:p>
    <w:p>
      <w:pPr>
        <w:numPr>
          <w:ilvl w:val="0"/>
          <w:numId w:val="1004"/>
        </w:numPr>
        <w:pStyle w:val="Compact"/>
      </w:pPr>
      <w:r>
        <w:t xml:space="preserve">The combination of label-distribution divergence and functional-family mismatch triggers the V1 hard rule used in Section S4: T_head[D, C-hole] is set to zero independently of any training-time signal.</w:t>
      </w:r>
    </w:p>
    <w:p>
      <w:pPr>
        <w:pStyle w:val="FirstParagraph"/>
      </w:pPr>
      <w:r>
        <w:t xml:space="preserve">V1 does</w:t>
      </w:r>
      <w:r>
        <w:t xml:space="preserve"> </w:t>
      </w:r>
      <w:r>
        <w:rPr>
          <w:bCs/>
          <w:b/>
        </w:rPr>
        <w:t xml:space="preserve">not</w:t>
      </w:r>
      <w:r>
        <w:t xml:space="preserve"> </w:t>
      </w:r>
      <w:r>
        <w:t xml:space="preserve">assert that naive D → C transfer must produce negative outcomes — that empirical question is addressed by the E65 ablation (Section S7.5). V1 only documents that a chemistry-discipline reviewer cannot be expected to assume cross-protocol comparability between D’s labels and C’s labels without further evidence.</w:t>
      </w:r>
    </w:p>
    <w:bookmarkEnd w:id="26"/>
    <w:bookmarkStart w:id="27" w:name="X84ef67ee6fd5c38f2b87fee8ba4283e44435f65"/>
    <w:p>
      <w:pPr>
        <w:pStyle w:val="Heading3"/>
      </w:pPr>
      <w:r>
        <w:t xml:space="preserve">S2.2 V2: classical C-only baselines and the data-ceiling diagnosis</w:t>
      </w:r>
    </w:p>
    <w:p>
      <w:pPr>
        <w:pStyle w:val="FirstParagraph"/>
      </w:pPr>
      <w:r>
        <w:t xml:space="preserve">To bound what a small-sample C-only learner can achieve on Client C in the absence of any federation signal, we trained four classical regressors — Random Forest, Gaussian Process, K-Nearest Neighbours and XGBoost — on Morgan fingerprints (radius 2, 2048 bits) under the same 5-seed LOOCV protocol used for the federated runs. Results are tabulated below and persisted as</w:t>
      </w:r>
      <w:r>
        <w:t xml:space="preserve"> </w:t>
      </w:r>
      <w:r>
        <w:rPr>
          <w:rStyle w:val="VerbatimChar"/>
        </w:rPr>
        <w:t xml:space="preserve">results/preverify/V2_classical_baselines.csv</w:t>
      </w:r>
      <w:r>
        <w:t xml:space="preserve"> </w:t>
      </w:r>
      <w:r>
        <w:t xml:space="preserve">and</w:t>
      </w:r>
      <w:r>
        <w:t xml:space="preserve"> </w:t>
      </w:r>
      <w:r>
        <w:rPr>
          <w:rStyle w:val="VerbatimChar"/>
        </w:rPr>
        <w:t xml:space="preserve">results/preverify/V2_summary.md</w:t>
      </w:r>
      <w:r>
        <w:t xml:space="preserve">.</w:t>
      </w:r>
    </w:p>
    <w:p>
      <w:pPr>
        <w:pStyle w:val="BodyText"/>
      </w:pPr>
      <w:r>
        <w:rPr>
          <w:bCs/>
          <w:b/>
        </w:rPr>
        <w:t xml:space="preserve">C-hole (n = 53), 5-seed LOOCV — mean ± standard deviation across seeds: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MAE (eV)</w:t>
            </w:r>
          </w:p>
        </w:tc>
        <w:tc>
          <w:tcPr/>
          <w:p>
            <w:pPr>
              <w:pStyle w:val="Compact"/>
              <w:jc w:val="left"/>
            </w:pPr>
            <w:r>
              <w:t xml:space="preserve">RMSE (eV)</w:t>
            </w:r>
          </w:p>
        </w:tc>
        <w:tc>
          <w:tcPr/>
          <w:p>
            <w:pPr>
              <w:pStyle w:val="Compact"/>
              <w:jc w:val="left"/>
            </w:pPr>
            <w:r>
              <w:rPr>
                <w:iCs/>
                <w:i/>
              </w:rPr>
              <w:t xml:space="preserve">R</w:t>
            </w:r>
            <w:r>
              <w:t xml:space="preserve">²</w:t>
            </w:r>
          </w:p>
        </w:tc>
      </w:tr>
      <w:tr>
        <w:tc>
          <w:tcPr/>
          <w:p>
            <w:pPr>
              <w:pStyle w:val="Compact"/>
              <w:jc w:val="left"/>
            </w:pPr>
            <w:r>
              <w:t xml:space="preserve">Random Forest</w:t>
            </w:r>
          </w:p>
        </w:tc>
        <w:tc>
          <w:tcPr/>
          <w:p>
            <w:pPr>
              <w:pStyle w:val="Compact"/>
              <w:jc w:val="left"/>
            </w:pPr>
            <w:r>
              <w:t xml:space="preserve">0.408 ± 0.004</w:t>
            </w:r>
          </w:p>
        </w:tc>
        <w:tc>
          <w:tcPr/>
          <w:p>
            <w:pPr>
              <w:pStyle w:val="Compact"/>
              <w:jc w:val="left"/>
            </w:pPr>
            <w:r>
              <w:t xml:space="preserve">0.573 ± 0.005</w:t>
            </w:r>
          </w:p>
        </w:tc>
        <w:tc>
          <w:tcPr/>
          <w:p>
            <w:pPr>
              <w:pStyle w:val="Compact"/>
              <w:jc w:val="left"/>
            </w:pPr>
            <w:r>
              <w:t xml:space="preserve">−0.334 ± 0.024</w:t>
            </w:r>
          </w:p>
        </w:tc>
      </w:tr>
      <w:tr>
        <w:tc>
          <w:tcPr/>
          <w:p>
            <w:pPr>
              <w:pStyle w:val="Compact"/>
              <w:jc w:val="left"/>
            </w:pPr>
            <w:r>
              <w:t xml:space="preserve">Gaussian Process</w:t>
            </w:r>
          </w:p>
        </w:tc>
        <w:tc>
          <w:tcPr/>
          <w:p>
            <w:pPr>
              <w:pStyle w:val="Compact"/>
              <w:jc w:val="left"/>
            </w:pPr>
            <w:r>
              <w:t xml:space="preserve">0.397 ± 0.000</w:t>
            </w:r>
          </w:p>
        </w:tc>
        <w:tc>
          <w:tcPr/>
          <w:p>
            <w:pPr>
              <w:pStyle w:val="Compact"/>
              <w:jc w:val="left"/>
            </w:pPr>
            <w:r>
              <w:t xml:space="preserve">0.532 ± 0.000</w:t>
            </w:r>
          </w:p>
        </w:tc>
        <w:tc>
          <w:tcPr/>
          <w:p>
            <w:pPr>
              <w:pStyle w:val="Compact"/>
              <w:jc w:val="left"/>
            </w:pPr>
            <w:r>
              <w:t xml:space="preserve">−0.150 ± 0.000</w:t>
            </w:r>
          </w:p>
        </w:tc>
      </w:tr>
      <w:tr>
        <w:tc>
          <w:tcPr/>
          <w:p>
            <w:pPr>
              <w:pStyle w:val="Compact"/>
              <w:jc w:val="left"/>
            </w:pPr>
            <w:r>
              <w:rPr>
                <w:bCs/>
                <w:b/>
              </w:rPr>
              <w:t xml:space="preserve">K-Nearest Neighbours</w:t>
            </w:r>
          </w:p>
        </w:tc>
        <w:tc>
          <w:tcPr/>
          <w:p>
            <w:pPr>
              <w:pStyle w:val="Compact"/>
              <w:jc w:val="left"/>
            </w:pPr>
            <w:r>
              <w:rPr>
                <w:bCs/>
                <w:b/>
              </w:rPr>
              <w:t xml:space="preserve">0.367 ± 0.000</w:t>
            </w:r>
          </w:p>
        </w:tc>
        <w:tc>
          <w:tcPr/>
          <w:p>
            <w:pPr>
              <w:pStyle w:val="Compact"/>
              <w:jc w:val="left"/>
            </w:pPr>
            <w:r>
              <w:rPr>
                <w:bCs/>
                <w:b/>
              </w:rPr>
              <w:t xml:space="preserve">0.521 ± 0.000</w:t>
            </w:r>
          </w:p>
        </w:tc>
        <w:tc>
          <w:tcPr/>
          <w:p>
            <w:pPr>
              <w:pStyle w:val="Compact"/>
              <w:jc w:val="left"/>
            </w:pPr>
            <w:r>
              <w:rPr>
                <w:bCs/>
                <w:b/>
              </w:rPr>
              <w:t xml:space="preserve">−0.101 ± 0.000</w:t>
            </w:r>
            <w:r>
              <w:t xml:space="preserve"> </w:t>
            </w:r>
            <w:r>
              <w:rPr>
                <w:iCs/>
                <w:i/>
              </w:rPr>
              <w:t xml:space="preserve">(best)</w:t>
            </w:r>
          </w:p>
        </w:tc>
      </w:tr>
      <w:tr>
        <w:tc>
          <w:tcPr/>
          <w:p>
            <w:pPr>
              <w:pStyle w:val="Compact"/>
              <w:jc w:val="left"/>
            </w:pPr>
            <w:r>
              <w:t xml:space="preserve">XGBoost</w:t>
            </w:r>
          </w:p>
        </w:tc>
        <w:tc>
          <w:tcPr/>
          <w:p>
            <w:pPr>
              <w:pStyle w:val="Compact"/>
              <w:jc w:val="left"/>
            </w:pPr>
            <w:r>
              <w:t xml:space="preserve">0.469 ± 0.007</w:t>
            </w:r>
          </w:p>
        </w:tc>
        <w:tc>
          <w:tcPr/>
          <w:p>
            <w:pPr>
              <w:pStyle w:val="Compact"/>
              <w:jc w:val="left"/>
            </w:pPr>
            <w:r>
              <w:t xml:space="preserve">0.646 ± 0.006</w:t>
            </w:r>
          </w:p>
        </w:tc>
        <w:tc>
          <w:tcPr/>
          <w:p>
            <w:pPr>
              <w:pStyle w:val="Compact"/>
              <w:jc w:val="left"/>
            </w:pPr>
            <w:r>
              <w:t xml:space="preserve">−0.696 ± 0.032</w:t>
            </w:r>
          </w:p>
        </w:tc>
      </w:tr>
    </w:tbl>
    <w:p>
      <w:pPr>
        <w:pStyle w:val="BodyText"/>
      </w:pPr>
      <w:r>
        <w:rPr>
          <w:bCs/>
          <w:b/>
        </w:rPr>
        <w:t xml:space="preserve">C-triplet (n = 49), 5-seed LOOCV — mean ± standard deviation across seeds: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MAE (eV)</w:t>
            </w:r>
          </w:p>
        </w:tc>
        <w:tc>
          <w:tcPr/>
          <w:p>
            <w:pPr>
              <w:pStyle w:val="Compact"/>
              <w:jc w:val="left"/>
            </w:pPr>
            <w:r>
              <w:t xml:space="preserve">RMSE (eV)</w:t>
            </w:r>
          </w:p>
        </w:tc>
        <w:tc>
          <w:tcPr/>
          <w:p>
            <w:pPr>
              <w:pStyle w:val="Compact"/>
              <w:jc w:val="left"/>
            </w:pPr>
            <w:r>
              <w:rPr>
                <w:iCs/>
                <w:i/>
              </w:rPr>
              <w:t xml:space="preserve">R</w:t>
            </w:r>
            <w:r>
              <w:t xml:space="preserve">²</w:t>
            </w:r>
          </w:p>
        </w:tc>
      </w:tr>
      <w:tr>
        <w:tc>
          <w:tcPr/>
          <w:p>
            <w:pPr>
              <w:pStyle w:val="Compact"/>
              <w:jc w:val="left"/>
            </w:pPr>
            <w:r>
              <w:rPr>
                <w:bCs/>
                <w:b/>
              </w:rPr>
              <w:t xml:space="preserve">Random Forest</w:t>
            </w:r>
          </w:p>
        </w:tc>
        <w:tc>
          <w:tcPr/>
          <w:p>
            <w:pPr>
              <w:pStyle w:val="Compact"/>
              <w:jc w:val="left"/>
            </w:pPr>
            <w:r>
              <w:rPr>
                <w:bCs/>
                <w:b/>
              </w:rPr>
              <w:t xml:space="preserve">0.552 ± 0.005</w:t>
            </w:r>
          </w:p>
        </w:tc>
        <w:tc>
          <w:tcPr/>
          <w:p>
            <w:pPr>
              <w:pStyle w:val="Compact"/>
              <w:jc w:val="left"/>
            </w:pPr>
            <w:r>
              <w:rPr>
                <w:bCs/>
                <w:b/>
              </w:rPr>
              <w:t xml:space="preserve">0.713 ± 0.005</w:t>
            </w:r>
          </w:p>
        </w:tc>
        <w:tc>
          <w:tcPr/>
          <w:p>
            <w:pPr>
              <w:pStyle w:val="Compact"/>
              <w:jc w:val="left"/>
            </w:pPr>
            <w:r>
              <w:rPr>
                <w:bCs/>
                <w:b/>
              </w:rPr>
              <w:t xml:space="preserve">+0.084 ± 0.012</w:t>
            </w:r>
            <w:r>
              <w:t xml:space="preserve"> </w:t>
            </w:r>
            <w:r>
              <w:rPr>
                <w:iCs/>
                <w:i/>
              </w:rPr>
              <w:t xml:space="preserve">(best)</w:t>
            </w:r>
          </w:p>
        </w:tc>
      </w:tr>
      <w:tr>
        <w:tc>
          <w:tcPr/>
          <w:p>
            <w:pPr>
              <w:pStyle w:val="Compact"/>
              <w:jc w:val="left"/>
            </w:pPr>
            <w:r>
              <w:t xml:space="preserve">Gaussian Process</w:t>
            </w:r>
          </w:p>
        </w:tc>
        <w:tc>
          <w:tcPr/>
          <w:p>
            <w:pPr>
              <w:pStyle w:val="Compact"/>
              <w:jc w:val="left"/>
            </w:pPr>
            <w:r>
              <w:t xml:space="preserve">0.592 ± 0.000</w:t>
            </w:r>
          </w:p>
        </w:tc>
        <w:tc>
          <w:tcPr/>
          <w:p>
            <w:pPr>
              <w:pStyle w:val="Compact"/>
              <w:jc w:val="left"/>
            </w:pPr>
            <w:r>
              <w:t xml:space="preserve">0.761 ± 0.000</w:t>
            </w:r>
          </w:p>
        </w:tc>
        <w:tc>
          <w:tcPr/>
          <w:p>
            <w:pPr>
              <w:pStyle w:val="Compact"/>
              <w:jc w:val="left"/>
            </w:pPr>
            <w:r>
              <w:t xml:space="preserve">−0.042 ± 0.000</w:t>
            </w:r>
          </w:p>
        </w:tc>
      </w:tr>
      <w:tr>
        <w:tc>
          <w:tcPr/>
          <w:p>
            <w:pPr>
              <w:pStyle w:val="Compact"/>
              <w:jc w:val="left"/>
            </w:pPr>
            <w:r>
              <w:t xml:space="preserve">K-Nearest Neighbours</w:t>
            </w:r>
          </w:p>
        </w:tc>
        <w:tc>
          <w:tcPr/>
          <w:p>
            <w:pPr>
              <w:pStyle w:val="Compact"/>
              <w:jc w:val="left"/>
            </w:pPr>
            <w:r>
              <w:t xml:space="preserve">0.637 ± 0.000</w:t>
            </w:r>
          </w:p>
        </w:tc>
        <w:tc>
          <w:tcPr/>
          <w:p>
            <w:pPr>
              <w:pStyle w:val="Compact"/>
              <w:jc w:val="left"/>
            </w:pPr>
            <w:r>
              <w:t xml:space="preserve">0.787 ± 0.000</w:t>
            </w:r>
          </w:p>
        </w:tc>
        <w:tc>
          <w:tcPr/>
          <w:p>
            <w:pPr>
              <w:pStyle w:val="Compact"/>
              <w:jc w:val="left"/>
            </w:pPr>
            <w:r>
              <w:t xml:space="preserve">−0.116 ± 0.000</w:t>
            </w:r>
          </w:p>
        </w:tc>
      </w:tr>
      <w:tr>
        <w:tc>
          <w:tcPr/>
          <w:p>
            <w:pPr>
              <w:pStyle w:val="Compact"/>
              <w:jc w:val="left"/>
            </w:pPr>
            <w:r>
              <w:t xml:space="preserve">XGBoost</w:t>
            </w:r>
          </w:p>
        </w:tc>
        <w:tc>
          <w:tcPr/>
          <w:p>
            <w:pPr>
              <w:pStyle w:val="Compact"/>
              <w:jc w:val="left"/>
            </w:pPr>
            <w:r>
              <w:t xml:space="preserve">0.584 ± 0.008</w:t>
            </w:r>
          </w:p>
        </w:tc>
        <w:tc>
          <w:tcPr/>
          <w:p>
            <w:pPr>
              <w:pStyle w:val="Compact"/>
              <w:jc w:val="left"/>
            </w:pPr>
            <w:r>
              <w:t xml:space="preserve">0.720 ± 0.008</w:t>
            </w:r>
          </w:p>
        </w:tc>
        <w:tc>
          <w:tcPr/>
          <w:p>
            <w:pPr>
              <w:pStyle w:val="Compact"/>
              <w:jc w:val="left"/>
            </w:pPr>
            <w:r>
              <w:t xml:space="preserve">+0.068 ± 0.021</w:t>
            </w:r>
          </w:p>
        </w:tc>
      </w:tr>
    </w:tbl>
    <w:p>
      <w:pPr>
        <w:pStyle w:val="BodyText"/>
      </w:pPr>
      <w:r>
        <w:t xml:space="preserve">The best classical</w:t>
      </w:r>
      <w:r>
        <w:t xml:space="preserve"> </w:t>
      </w:r>
      <w:r>
        <w:rPr>
          <w:iCs/>
          <w:i/>
        </w:rPr>
        <w:t xml:space="preserve">R</w:t>
      </w:r>
      <w:r>
        <w:t xml:space="preserve">² is</w:t>
      </w:r>
      <w:r>
        <w:t xml:space="preserve"> </w:t>
      </w:r>
      <w:r>
        <w:rPr>
          <w:bCs/>
          <w:b/>
        </w:rPr>
        <w:t xml:space="preserve">−0.101</w:t>
      </w:r>
      <w:r>
        <w:t xml:space="preserve"> </w:t>
      </w:r>
      <w:r>
        <w:t xml:space="preserve">on C-hole (KNN) and</w:t>
      </w:r>
      <w:r>
        <w:t xml:space="preserve"> </w:t>
      </w:r>
      <w:r>
        <w:rPr>
          <w:bCs/>
          <w:b/>
        </w:rPr>
        <w:t xml:space="preserve">+0.084</w:t>
      </w:r>
      <w:r>
        <w:t xml:space="preserve"> </w:t>
      </w:r>
      <w:r>
        <w:t xml:space="preserve">on C-triplet (Random Forest). Three of the four C-hole baselines and three of the four C-triplet baselines produce negative</w:t>
      </w:r>
      <w:r>
        <w:t xml:space="preserve"> </w:t>
      </w:r>
      <w:r>
        <w:rPr>
          <w:iCs/>
          <w:i/>
        </w:rPr>
        <w:t xml:space="preserve">R</w:t>
      </w:r>
      <w:r>
        <w:t xml:space="preserve">² across all five seeds, despite reporting MAE values comparable to the federated methods. This is consistent with a small-sample data-ceiling regime in which the per-molecule label variance is large relative to the spread of the labels, so that explained variance is a brittle metric. We therefore use MAE / RMSE as the primary regression metrics in the main text, and report</w:t>
      </w:r>
      <w:r>
        <w:t xml:space="preserve"> </w:t>
      </w:r>
      <w:r>
        <w:rPr>
          <w:iCs/>
          <w:i/>
        </w:rPr>
        <w:t xml:space="preserve">R</w:t>
      </w:r>
      <w:r>
        <w:t xml:space="preserve">² only as an auxiliary. The C-hole non-significance reported in the main manuscript (Figure 4, left) is consistent with — but does not by itself prove — this data ceiling.</w:t>
      </w:r>
    </w:p>
    <w:bookmarkEnd w:id="27"/>
    <w:bookmarkStart w:id="28" w:name="s2.3-v3-chemical-space-overlap"/>
    <w:p>
      <w:pPr>
        <w:pStyle w:val="Heading3"/>
      </w:pPr>
      <w:r>
        <w:t xml:space="preserve">S2.3 V3: chemical-space overlap</w:t>
      </w:r>
    </w:p>
    <w:p>
      <w:pPr>
        <w:pStyle w:val="FirstParagraph"/>
      </w:pPr>
      <w:r>
        <w:t xml:space="preserve">Per-pair chemistry overlap was computed in two complementary forms:</w:t>
      </w:r>
    </w:p>
    <w:p>
      <w:pPr>
        <w:numPr>
          <w:ilvl w:val="0"/>
          <w:numId w:val="1005"/>
        </w:numPr>
        <w:pStyle w:val="Compact"/>
      </w:pPr>
      <w:r>
        <w:rPr>
          <w:bCs/>
          <w:b/>
        </w:rPr>
        <w:t xml:space="preserve">K_ij</w:t>
      </w:r>
      <w:r>
        <w:t xml:space="preserve"> </w:t>
      </w:r>
      <w:r>
        <w:t xml:space="preserve">— the mean over molecules of</w:t>
      </w:r>
      <w:r>
        <w:t xml:space="preserve"> </w:t>
      </w:r>
      <w:r>
        <w:rPr>
          <w:iCs/>
          <w:i/>
        </w:rPr>
        <w:t xml:space="preserve">i</w:t>
      </w:r>
      <w:r>
        <w:t xml:space="preserve"> </w:t>
      </w:r>
      <w:r>
        <w:t xml:space="preserve">of the maximum Tanimoto similarity to any molecule of</w:t>
      </w:r>
      <w:r>
        <w:t xml:space="preserve"> </w:t>
      </w:r>
      <w:r>
        <w:rPr>
          <w:iCs/>
          <w:i/>
        </w:rPr>
        <w:t xml:space="preserve">j</w:t>
      </w:r>
      <w:r>
        <w:t xml:space="preserve">, using Morgan fingerprints (radius 2, 2048 bits).</w:t>
      </w:r>
    </w:p>
    <w:p>
      <w:pPr>
        <w:numPr>
          <w:ilvl w:val="0"/>
          <w:numId w:val="1005"/>
        </w:numPr>
        <w:pStyle w:val="Compact"/>
      </w:pPr>
      <w:r>
        <w:rPr>
          <w:bCs/>
          <w:b/>
        </w:rPr>
        <w:t xml:space="preserve">S_ij</w:t>
      </w:r>
      <w:r>
        <w:t xml:space="preserve"> </w:t>
      </w:r>
      <w:r>
        <w:t xml:space="preserve">— the asymmetric Murcko-scaffold overlap, defined as |Scaf(i) ∩ Scaf(j)| / |Scaf(i)|.</w:t>
      </w:r>
    </w:p>
    <w:p>
      <w:pPr>
        <w:pStyle w:val="FirstParagraph"/>
      </w:pPr>
      <w:r>
        <w:t xml:space="preserve">Selected V3 values:</w:t>
      </w:r>
      <w:r>
        <w:t xml:space="preserve"> </w:t>
      </w:r>
      <w:r>
        <w:t xml:space="preserve">- K(C-hole → D) = 0.120; K(C-triplet → D) = 0.118 (median per-C-molecule max-Tanimoto to D).</w:t>
      </w:r>
      <w:r>
        <w:t xml:space="preserve"> </w:t>
      </w:r>
      <w:r>
        <w:t xml:space="preserve">- S(C-hole → D) = 0.0 (no C-hole scaffold appears in D); S(C-triplet → D) = 0.0.</w:t>
      </w:r>
      <w:r>
        <w:t xml:space="preserve"> </w:t>
      </w:r>
      <w:r>
        <w:t xml:space="preserve">- K(C-hole, C-triplet) and K(C-triplet, C-hole) are essentially saturated, reflecting near-identical molecule sets between the two C task-clients.</w:t>
      </w:r>
    </w:p>
    <w:p>
      <w:pPr>
        <w:pStyle w:val="BodyText"/>
      </w:pPr>
      <w:r>
        <w:t xml:space="preserve">The Atahan-Evrenk dataset (D) and the in-house TADF dataset (C) therefore live in disjoint chemical spaces.</w:t>
      </w:r>
    </w:p>
    <w:p>
      <w:pPr>
        <w:pStyle w:val="BodyText"/>
      </w:pPr>
      <w:r>
        <w:t xml:space="preserve">V3 motivates the T_repr definition used in Section S4: chemistry-similar source–target pairs receive higher encoder-aggregation weight, but the gate alone is shown empirically (S7) not to be a performance driver in our particular federation.</w:t>
      </w:r>
    </w:p>
    <w:bookmarkEnd w:id="28"/>
    <w:bookmarkStart w:id="29" w:name="X25b0ecff7b1dbbac8158295e0b55c1253e68ba8"/>
    <w:p>
      <w:pPr>
        <w:pStyle w:val="Heading3"/>
      </w:pPr>
      <w:r>
        <w:t xml:space="preserve">S2.4 D → C direct transfer cannot be assumed protocol-compatible</w:t>
      </w:r>
    </w:p>
    <w:p>
      <w:pPr>
        <w:pStyle w:val="FirstParagraph"/>
      </w:pPr>
      <w:r>
        <w:t xml:space="preserve">The combination of V1 (protocol divergence and quantity mismatch) and V3 (disjoint chemistry) makes a naive D → C supervised transfer unsafe to assume without evidence: there is no a-priori basis for the assumption that D’s hole-λ labels — computed at B3LYP/6-31G* on chemically distant conjugated organic semiconductors — are a reliable supervised signal for C-hole’s ωB97X-D adiabatic-four-point labels, let alone for the triplet end-state energies of C-triplet. PC²-FedReorg encodes this caution as T_head[D, C-*] = 0 by construction.</w:t>
      </w:r>
    </w:p>
    <w:p>
      <w:pPr>
        <w:pStyle w:val="BodyText"/>
      </w:pPr>
      <w:r>
        <w:t xml:space="preserve">Empirically, we ran the E65 negative-control (Section S7.5) and found that PC²-FedReorg and a naive D → C pretrain are not statistically distinguishable on either C target. We therefore do not claim that D → C transfer necessarily produces negative outcomes; we only claim that the conservative gate is defensible and that PC²-FedReorg did not extract benefit from D’s labels through the head.</w:t>
      </w:r>
    </w:p>
    <w:p>
      <w:r>
        <w:pict>
          <v:rect style="width:0;height:1.5pt" o:hralign="center" o:hrstd="t" o:hr="t"/>
        </w:pict>
      </w:r>
    </w:p>
    <w:bookmarkEnd w:id="29"/>
    <w:bookmarkEnd w:id="30"/>
    <w:bookmarkStart w:id="38" w:name="s3.-model-and-implementation-details"/>
    <w:p>
      <w:pPr>
        <w:pStyle w:val="Heading2"/>
      </w:pPr>
      <w:r>
        <w:t xml:space="preserve">S3. Model and implementation details</w:t>
      </w:r>
    </w:p>
    <w:bookmarkStart w:id="31" w:name="s3.1-encoder"/>
    <w:p>
      <w:pPr>
        <w:pStyle w:val="Heading3"/>
      </w:pPr>
      <w:r>
        <w:t xml:space="preserve">S3.1 Encoder</w:t>
      </w:r>
    </w:p>
    <w:p>
      <w:pPr>
        <w:pStyle w:val="FirstParagraph"/>
      </w:pPr>
      <w:r>
        <w:t xml:space="preserve">All experiments in this manuscript use a 5-layer Graph Isomorphism Network (GIN) encoder with hidden dimension 300, Jumping-Knowledge concatenation across layers, mean+max pooling on the node embeddings, and a final projection to 256-d via a two-layer MLP. The codebase additionally implements a SchNet 3D encoder (</w:t>
      </w:r>
      <w:r>
        <w:rPr>
          <w:rStyle w:val="VerbatimChar"/>
        </w:rPr>
        <w:t xml:space="preserve">src/models.py:SchNet3DEncoder</w:t>
      </w:r>
      <w:r>
        <w:t xml:space="preserve">) accessible through the same</w:t>
      </w:r>
      <w:r>
        <w:t xml:space="preserve"> </w:t>
      </w:r>
      <w:r>
        <w:rPr>
          <w:rStyle w:val="VerbatimChar"/>
        </w:rPr>
        <w:t xml:space="preserve">encoder_type</w:t>
      </w:r>
      <w:r>
        <w:t xml:space="preserve"> </w:t>
      </w:r>
      <w:r>
        <w:t xml:space="preserve">switch, but</w:t>
      </w:r>
      <w:r>
        <w:t xml:space="preserve"> </w:t>
      </w:r>
      <w:r>
        <w:rPr>
          <w:bCs/>
          <w:b/>
        </w:rPr>
        <w:t xml:space="preserve">no SchNet results are reported in this manuscript</w:t>
      </w:r>
      <w:r>
        <w:t xml:space="preserve"> </w:t>
      </w:r>
      <w:r>
        <w:t xml:space="preserve">— the SchNet path is documented here only as repository infrastructure for follow-up work.</w:t>
      </w:r>
    </w:p>
    <w:p>
      <w:pPr>
        <w:pStyle w:val="BodyText"/>
      </w:pPr>
      <w:r>
        <w:t xml:space="preserve">Node features are an 11-dimensional descriptor (atom type one-hot, degree, formal charge, hybridisation, aromaticity, in-ring flag, total Hs, Gasteiger partial charge). When HOMO/LUMO/gap/dipole node features are enabled the descriptor extends to 15 dimensions; for clients without HOMO/LUMO measurements the extra channels are zero-padded.</w:t>
      </w:r>
    </w:p>
    <w:bookmarkEnd w:id="31"/>
    <w:bookmarkStart w:id="32" w:name="s3.2-kan-head"/>
    <w:p>
      <w:pPr>
        <w:pStyle w:val="Heading3"/>
      </w:pPr>
      <w:r>
        <w:t xml:space="preserve">S3.2 KAN head</w:t>
      </w:r>
    </w:p>
    <w:p>
      <w:pPr>
        <w:pStyle w:val="FirstParagraph"/>
      </w:pPr>
      <w:r>
        <w:t xml:space="preserve">The regression head uses</w:t>
      </w:r>
      <w:r>
        <w:t xml:space="preserve"> </w:t>
      </w:r>
      <w:r>
        <w:rPr>
          <w:rStyle w:val="VerbatimChar"/>
        </w:rPr>
        <w:t xml:space="preserve">efficient-kan</w:t>
      </w:r>
      <w:r>
        <w:t xml:space="preserve"> </w:t>
      </w:r>
      <w:r>
        <w:t xml:space="preserve">with grid size 5 and spline order 3. Three KAN layers are stacked: 256 → 64 → 32 → 1. KAN parameters are private to each task-client (head sharing under T_head is reserved to compatible source–target pairs; in our federation the only non-zero T_head off-diagonal is A ↔ B, see Section S4).</w:t>
      </w:r>
    </w:p>
    <w:bookmarkEnd w:id="32"/>
    <w:bookmarkStart w:id="33" w:name="s3.3-residual-adapter"/>
    <w:p>
      <w:pPr>
        <w:pStyle w:val="Heading3"/>
      </w:pPr>
      <w:r>
        <w:t xml:space="preserve">S3.3 Residual adapter</w:t>
      </w:r>
    </w:p>
    <w:p>
      <w:pPr>
        <w:pStyle w:val="FirstParagraph"/>
      </w:pPr>
      <w:r>
        <w:t xml:space="preserve">An optional residual bottleneck (256 → 128 → 256, GELU activation, LayerNorm before the residual addition) sits between encoder and head. The final projection of the bottleneck is zero-initialised so that, prior to any training, the adapter is the identity. The adapter participates in cross-client aggregation under T_adapter (defined in Section S4).</w:t>
      </w:r>
    </w:p>
    <w:bookmarkEnd w:id="33"/>
    <w:bookmarkStart w:id="34" w:name="s3.4-calibration-buffer"/>
    <w:p>
      <w:pPr>
        <w:pStyle w:val="Heading3"/>
      </w:pPr>
      <w:r>
        <w:t xml:space="preserve">S3.4 Calibration buffer</w:t>
      </w:r>
    </w:p>
    <w:p>
      <w:pPr>
        <w:pStyle w:val="FirstParagraph"/>
      </w:pPr>
      <w:r>
        <w:t xml:space="preserve">Each task-client owns a</w:t>
      </w:r>
      <w:r>
        <w:t xml:space="preserve"> </w:t>
      </w:r>
      <w:r>
        <w:rPr>
          <w:rStyle w:val="VerbatimChar"/>
        </w:rPr>
        <w:t xml:space="preserve">CalibrationHead</w:t>
      </w:r>
      <w:r>
        <w:t xml:space="preserve"> </w:t>
      </w:r>
      <w:r>
        <w:t xml:space="preserve">with two non-trainable buffers (</w:t>
      </w:r>
      <w:r>
        <w:rPr>
          <w:rStyle w:val="VerbatimChar"/>
        </w:rPr>
        <w:t xml:space="preserve">μ</w:t>
      </w:r>
      <w:r>
        <w:t xml:space="preserve">,</w:t>
      </w:r>
      <w:r>
        <w:t xml:space="preserve"> </w:t>
      </w:r>
      <w:r>
        <w:rPr>
          <w:rStyle w:val="VerbatimChar"/>
        </w:rPr>
        <w:t xml:space="preserve">σ</w:t>
      </w:r>
      <w:r>
        <w:t xml:space="preserve">) registered via</w:t>
      </w:r>
      <w:r>
        <w:t xml:space="preserve"> </w:t>
      </w:r>
      <w:r>
        <w:rPr>
          <w:rStyle w:val="VerbatimChar"/>
        </w:rPr>
        <w:t xml:space="preserve">torch.nn.Module.register_buffer</w:t>
      </w:r>
      <w:r>
        <w:t xml:space="preserve">. A small floor σ ≥ 10⁻⁸ prevents division-by-zero on degenerate folds.</w:t>
      </w:r>
    </w:p>
    <w:p>
      <w:pPr>
        <w:pStyle w:val="BodyText"/>
      </w:pPr>
      <w:r>
        <w:t xml:space="preserve">Calibration is installed per LOOCV fold from the (n − 1) training labels of that fold; the held-out test molecule’s label never enters</w:t>
      </w:r>
      <w:r>
        <w:t xml:space="preserve"> </w:t>
      </w:r>
      <w:r>
        <w:rPr>
          <w:rStyle w:val="VerbatimChar"/>
        </w:rPr>
        <w:t xml:space="preserve">set_calibration(μ, σ)</w:t>
      </w:r>
      <w:r>
        <w:t xml:space="preserve">. This isolation is verified by unit tests (Section S9).</w:t>
      </w:r>
    </w:p>
    <w:bookmarkEnd w:id="34"/>
    <w:bookmarkStart w:id="35" w:name="s3.5-z-space-loss-ev-space-metrics"/>
    <w:p>
      <w:pPr>
        <w:pStyle w:val="Heading3"/>
      </w:pPr>
      <w:r>
        <w:t xml:space="preserve">S3.5 z-space loss / eV-space metrics</w:t>
      </w:r>
    </w:p>
    <w:p>
      <w:pPr>
        <w:pStyle w:val="FirstParagraph"/>
      </w:pPr>
      <w:r>
        <w:t xml:space="preserve">Training loss is computed in the per-task-client standardised z-space:</w:t>
      </w:r>
    </w:p>
    <w:p>
      <w:pPr>
        <w:pStyle w:val="BodyText"/>
      </w:pPr>
      <w:r>
        <w:t xml:space="preserve">$$
\mathcal{L}_c \;=\; \mathrm{MSE}\!\Bigl(\,\mathrm{model}_z(x), \; (\lambda - \mu_c)\,/\,\sigma_c\Bigr).
$$</w:t>
      </w:r>
    </w:p>
    <w:p>
      <w:pPr>
        <w:pStyle w:val="FirstParagraph"/>
      </w:pPr>
      <w:r>
        <w:t xml:space="preserve">Predictions are inverted back to eV-space for metric reporting:</w:t>
      </w:r>
    </w:p>
    <w:p>
      <w:pPr>
        <w:pStyle w:val="BodyText"/>
      </w:pPr>
      <m:oMathPara>
        <m:oMathParaPr>
          <m:jc m:val="center"/>
        </m:oMathParaPr>
        <m:oMath>
          <m:acc>
            <m:accPr>
              <m:chr m:val="̂"/>
            </m:accPr>
            <m:e>
              <m:r>
                <m:t>λ</m:t>
              </m:r>
            </m:e>
          </m:acc>
          <m:r>
            <m:t> </m:t>
          </m:r>
          <m:r>
            <m:rPr>
              <m:sty m:val="p"/>
            </m:rPr>
            <m:t>=</m:t>
          </m:r>
          <m:r>
            <m:t> </m:t>
          </m:r>
          <m:sSub>
            <m:e>
              <m:r>
                <m:t>σ</m:t>
              </m:r>
            </m:e>
            <m:sub>
              <m:r>
                <m:t>c</m:t>
              </m:r>
            </m:sub>
          </m:sSub>
          <m:r>
            <m:rPr>
              <m:sty m:val="p"/>
            </m:rPr>
            <m:t>⋅</m:t>
          </m:r>
          <m:sSub>
            <m:e>
              <m:r>
                <m:t>z</m:t>
              </m:r>
            </m:e>
            <m:sub>
              <m:r>
                <m:rPr>
                  <m:sty m:val="p"/>
                </m:rPr>
                <m:t>p</m:t>
              </m:r>
              <m:r>
                <m:rPr>
                  <m:sty m:val="p"/>
                </m:rPr>
                <m:t>r</m:t>
              </m:r>
              <m:r>
                <m:rPr>
                  <m:sty m:val="p"/>
                </m:rPr>
                <m:t>e</m:t>
              </m:r>
              <m:r>
                <m:rPr>
                  <m:sty m:val="p"/>
                </m:rPr>
                <m:t>d</m:t>
              </m:r>
            </m:sub>
          </m:sSub>
          <m:r>
            <m:rPr>
              <m:sty m:val="p"/>
            </m:rPr>
            <m:t>+</m:t>
          </m:r>
          <m:sSub>
            <m:e>
              <m:r>
                <m:t>μ</m:t>
              </m:r>
            </m:e>
            <m:sub>
              <m:r>
                <m:t>c</m:t>
              </m:r>
            </m:sub>
          </m:sSub>
          <m:r>
            <m:rPr>
              <m:sty m:val="p"/>
            </m:rPr>
            <m:t>.</m:t>
          </m:r>
        </m:oMath>
      </m:oMathPara>
    </w:p>
    <w:p>
      <w:pPr>
        <w:pStyle w:val="FirstParagraph"/>
      </w:pPr>
      <w:r>
        <w:t xml:space="preserve">All MAE, RMSE and R² values reported in the manuscript are computed in eV-space.</w:t>
      </w:r>
    </w:p>
    <w:bookmarkEnd w:id="35"/>
    <w:bookmarkStart w:id="36" w:name="s3.6-aggregation-exclusion"/>
    <w:p>
      <w:pPr>
        <w:pStyle w:val="Heading3"/>
      </w:pPr>
      <w:r>
        <w:t xml:space="preserve">S3.6 Aggregation exclusion</w:t>
      </w:r>
    </w:p>
    <w:p>
      <w:pPr>
        <w:pStyle w:val="FirstParagraph"/>
      </w:pPr>
      <w:r>
        <w:t xml:space="preserve">The shared filter</w:t>
      </w:r>
      <w:r>
        <w:t xml:space="preserve"> </w:t>
      </w:r>
      <w:r>
        <w:rPr>
          <w:rStyle w:val="VerbatimChar"/>
        </w:rPr>
        <w:t xml:space="preserve">_get_exclude_keys(state_dict)</w:t>
      </w:r>
      <w:r>
        <w:t xml:space="preserve"> </w:t>
      </w:r>
      <w:r>
        <w:t xml:space="preserve">returns the set of keys that no federated strategy aggregates. In PC²-FedReorg this set contains every key matching</w:t>
      </w:r>
      <w:r>
        <w:t xml:space="preserve"> </w:t>
      </w:r>
      <w:r>
        <w:rPr>
          <w:rStyle w:val="VerbatimChar"/>
        </w:rPr>
        <w:t xml:space="preserve">*calibration*</w:t>
      </w:r>
      <w:r>
        <w:t xml:space="preserve">, plus the FedBN-style exclusions of</w:t>
      </w:r>
      <w:r>
        <w:t xml:space="preserve"> </w:t>
      </w:r>
      <w:r>
        <w:rPr>
          <w:rStyle w:val="VerbatimChar"/>
        </w:rPr>
        <w:t xml:space="preserve">*.bn.*</w:t>
      </w:r>
      <w:r>
        <w:t xml:space="preserve"> </w:t>
      </w:r>
      <w:r>
        <w:t xml:space="preserve">and</w:t>
      </w:r>
      <w:r>
        <w:t xml:space="preserve"> </w:t>
      </w:r>
      <w:r>
        <w:rPr>
          <w:rStyle w:val="VerbatimChar"/>
        </w:rPr>
        <w:t xml:space="preserve">*.norm.*</w:t>
      </w:r>
      <w:r>
        <w:t xml:space="preserve">. Heads, adapters and encoders are routed by the per-key per-target rule given in main-text Section 2.3 (Equation 1).</w:t>
      </w:r>
    </w:p>
    <w:bookmarkEnd w:id="36"/>
    <w:bookmarkStart w:id="37" w:name="s3.7-no-leakage-calibration-tests"/>
    <w:p>
      <w:pPr>
        <w:pStyle w:val="Heading3"/>
      </w:pPr>
      <w:r>
        <w:t xml:space="preserve">S3.7 No-leakage calibration tests</w:t>
      </w:r>
    </w:p>
    <w:p>
      <w:pPr>
        <w:pStyle w:val="FirstParagraph"/>
      </w:pPr>
      <w:r>
        <w:t xml:space="preserve">A test module (</w:t>
      </w:r>
      <w:r>
        <w:rPr>
          <w:rStyle w:val="VerbatimChar"/>
        </w:rPr>
        <w:t xml:space="preserve">tests/test_calibration_isolation.py</w:t>
      </w:r>
      <w:r>
        <w:t xml:space="preserve">, 20 cases) verifies that:</w:t>
      </w:r>
    </w:p>
    <w:p>
      <w:pPr>
        <w:numPr>
          <w:ilvl w:val="0"/>
          <w:numId w:val="1006"/>
        </w:numPr>
        <w:pStyle w:val="Compact"/>
      </w:pPr>
      <w:r>
        <w:rPr>
          <w:rStyle w:val="VerbatimChar"/>
        </w:rPr>
        <w:t xml:space="preserve">set_calibration(μ, σ)</w:t>
      </w:r>
      <w:r>
        <w:t xml:space="preserve"> </w:t>
      </w:r>
      <w:r>
        <w:t xml:space="preserve">accepts only the training-fold labels and rejects the test molecule by construction;</w:t>
      </w:r>
    </w:p>
    <w:p>
      <w:pPr>
        <w:numPr>
          <w:ilvl w:val="0"/>
          <w:numId w:val="1006"/>
        </w:numPr>
        <w:pStyle w:val="Compact"/>
      </w:pPr>
      <w:r>
        <w:t xml:space="preserve">cross-aggregating two models with different (μ, σ) buffers does not mix their calibration values;</w:t>
      </w:r>
    </w:p>
    <w:p>
      <w:pPr>
        <w:numPr>
          <w:ilvl w:val="0"/>
          <w:numId w:val="1006"/>
        </w:numPr>
        <w:pStyle w:val="Compact"/>
      </w:pPr>
      <w:r>
        <w:t xml:space="preserve">the z-space → eV-space round-trip identity holds to 1 × 10⁻⁵ eV for fixed inputs;</w:t>
      </w:r>
    </w:p>
    <w:p>
      <w:pPr>
        <w:numPr>
          <w:ilvl w:val="0"/>
          <w:numId w:val="1006"/>
        </w:numPr>
        <w:pStyle w:val="Compact"/>
      </w:pPr>
      <w:r>
        <w:t xml:space="preserve">PC²-FedReorg never reads a calibration buffer from the aggregated parameter dictionary.</w:t>
      </w:r>
    </w:p>
    <w:p>
      <w:pPr>
        <w:pStyle w:val="FirstParagraph"/>
      </w:pPr>
      <w:r>
        <w:t xml:space="preserve">All 20 tests pass on the commit hash recorded in</w:t>
      </w:r>
      <w:r>
        <w:t xml:space="preserve"> </w:t>
      </w:r>
      <w:r>
        <w:rPr>
          <w:rStyle w:val="VerbatimChar"/>
        </w:rPr>
        <w:t xml:space="preserve">logs/pc2_batch1/FROZEN_INFO.txt</w:t>
      </w:r>
      <w:r>
        <w:t xml:space="preserve">.</w:t>
      </w:r>
    </w:p>
    <w:p>
      <w:r>
        <w:pict>
          <v:rect style="width:0;height:1.5pt" o:hralign="center" o:hrstd="t" o:hr="t"/>
        </w:pict>
      </w:r>
    </w:p>
    <w:bookmarkEnd w:id="37"/>
    <w:bookmarkEnd w:id="38"/>
    <w:bookmarkStart w:id="43" w:name="s4.-transferability-matrices"/>
    <w:p>
      <w:pPr>
        <w:pStyle w:val="Heading2"/>
      </w:pPr>
      <w:r>
        <w:t xml:space="preserve">S4. Transferability matrices</w:t>
      </w:r>
    </w:p>
    <w:bookmarkStart w:id="39" w:name="s4.1-definitions"/>
    <w:p>
      <w:pPr>
        <w:pStyle w:val="Heading3"/>
      </w:pPr>
      <w:r>
        <w:t xml:space="preserve">S4.1 Definitions</w:t>
      </w:r>
    </w:p>
    <w:p>
      <w:pPr>
        <w:pStyle w:val="FirstParagraph"/>
      </w:pPr>
      <w:r>
        <w:t xml:space="preserve">Three 5 × 5 transferability matrices T^(layer) for layer ∈ {repr, adapter, head} are computed once before training and persisted as</w:t>
      </w:r>
      <w:r>
        <w:t xml:space="preserve"> </w:t>
      </w:r>
      <w:r>
        <w:rPr>
          <w:rStyle w:val="VerbatimChar"/>
        </w:rPr>
        <w:t xml:space="preserve">results/preverify/T_transferability.json</w:t>
      </w:r>
      <w:r>
        <w:t xml:space="preserve">. They are deterministic functions of the chemistry overlap and protocol metadata; they do not depend on any label or model state.</w:t>
      </w:r>
    </w:p>
    <w:p>
      <w:pPr>
        <w:pStyle w:val="BodyText"/>
      </w:pPr>
      <w:r>
        <w:rPr>
          <w:bCs/>
          <w:b/>
        </w:rPr>
        <w:t xml:space="preserve">T_repr (encoder gate, chemistry-driven):</w:t>
      </w:r>
    </w:p>
    <w:p>
      <w:pPr>
        <w:pStyle w:val="BodyText"/>
      </w:pPr>
      <m:oMathPara>
        <m:oMathParaPr>
          <m:jc m:val="center"/>
        </m:oMathParaPr>
        <m:oMath>
          <m:sSub>
            <m:e>
              <m:r>
                <m:t>T</m:t>
              </m:r>
            </m:e>
            <m:sub>
              <m:r>
                <m:rPr>
                  <m:sty m:val="p"/>
                </m:rPr>
                <m:t>r</m:t>
              </m:r>
              <m:r>
                <m:rPr>
                  <m:sty m:val="p"/>
                </m:rPr>
                <m:t>e</m:t>
              </m:r>
              <m:r>
                <m:rPr>
                  <m:sty m:val="p"/>
                </m:rPr>
                <m:t>p</m:t>
              </m:r>
              <m:r>
                <m:rPr>
                  <m:sty m:val="p"/>
                </m:rPr>
                <m:t>r</m:t>
              </m:r>
            </m:sub>
          </m:sSub>
          <m:d>
            <m:dPr>
              <m:begChr m:val="["/>
              <m:endChr m:val="]"/>
              <m:sepChr m:val=""/>
              <m:grow/>
            </m:dPr>
            <m:e>
              <m:r>
                <m:t>i</m:t>
              </m:r>
              <m:r>
                <m:rPr>
                  <m:sty m:val="p"/>
                </m:rPr>
                <m:t>,</m:t>
              </m:r>
              <m:r>
                <m:t>j</m:t>
              </m:r>
            </m:e>
          </m:d>
          <m:r>
            <m:rPr>
              <m:sty m:val="p"/>
            </m:rPr>
            <m:t>=</m:t>
          </m:r>
          <m:r>
            <m:rPr>
              <m:sty m:val="p"/>
            </m:rPr>
            <m:t>max</m:t>
          </m:r>
          <m:r>
            <m:t>​</m:t>
          </m:r>
          <m:d>
            <m:dPr>
              <m:begChr m:val="("/>
              <m:endChr m:val=")"/>
              <m:sepChr m:val=""/>
              <m:grow/>
            </m:dPr>
            <m:e>
              <m:sSub>
                <m:e>
                  <m:r>
                    <m:t>ϵ</m:t>
                  </m:r>
                </m:e>
                <m:sub>
                  <m:r>
                    <m:t>r</m:t>
                  </m:r>
                </m:sub>
              </m:sSub>
              <m:r>
                <m:rPr>
                  <m:sty m:val="p"/>
                </m:rPr>
                <m:t>,</m:t>
              </m:r>
              <m:r>
                <m:t> </m:t>
              </m:r>
              <m:sSub>
                <m:e>
                  <m:r>
                    <m:t>w</m:t>
                  </m:r>
                </m:e>
                <m:sub>
                  <m:r>
                    <m:t>K</m:t>
                  </m:r>
                </m:sub>
              </m:sSub>
              <m:r>
                <m:rPr>
                  <m:sty m:val="p"/>
                </m:rPr>
                <m:t>⋅</m:t>
              </m:r>
              <m:sSub>
                <m:e>
                  <m:r>
                    <m:t>K</m:t>
                  </m:r>
                </m:e>
                <m:sub>
                  <m:r>
                    <m:t>i</m:t>
                  </m:r>
                  <m:r>
                    <m:t>j</m:t>
                  </m:r>
                </m:sub>
              </m:sSub>
              <m:r>
                <m:rPr>
                  <m:sty m:val="p"/>
                </m:rPr>
                <m:t>+</m:t>
              </m:r>
              <m:sSub>
                <m:e>
                  <m:r>
                    <m:t>w</m:t>
                  </m:r>
                </m:e>
                <m:sub>
                  <m:r>
                    <m:t>S</m:t>
                  </m:r>
                </m:sub>
              </m:sSub>
              <m:r>
                <m:rPr>
                  <m:sty m:val="p"/>
                </m:rPr>
                <m:t>⋅</m:t>
              </m:r>
              <m:sSub>
                <m:e>
                  <m:r>
                    <m:t>S</m:t>
                  </m:r>
                </m:e>
                <m:sub>
                  <m:r>
                    <m:t>i</m:t>
                  </m:r>
                  <m:r>
                    <m:t>j</m:t>
                  </m:r>
                </m:sub>
              </m:sSub>
            </m:e>
          </m:d>
        </m:oMath>
      </m:oMathPara>
    </w:p>
    <w:p>
      <w:pPr>
        <w:pStyle w:val="FirstParagraph"/>
      </w:pPr>
      <w:r>
        <w:t xml:space="preserve">with (w_K, w_S) = (0.6, 0.4), ε_r = 10⁻³, K_ij from V3 (Section S2.3), and S_ij the asymmetric Murcko-scaffold overlap.</w:t>
      </w:r>
    </w:p>
    <w:p>
      <w:pPr>
        <w:pStyle w:val="BodyText"/>
      </w:pPr>
      <w:r>
        <w:rPr>
          <w:bCs/>
          <w:b/>
        </w:rPr>
        <w:t xml:space="preserve">T_head (regression-head gate, conservative protocol clauses, in the order applied by</w:t>
      </w:r>
      <w:r>
        <w:rPr>
          <w:bCs/>
          <w:b/>
        </w:rPr>
        <w:t xml:space="preserve"> </w:t>
      </w:r>
      <w:r>
        <w:rPr>
          <w:rStyle w:val="VerbatimChar"/>
          <w:bCs/>
          <w:b/>
        </w:rPr>
        <w:t xml:space="preserve">src/transferability.py:t_head_compatibility</w:t>
      </w:r>
      <w:r>
        <w:rPr>
          <w:bCs/>
          <w:b/>
        </w:rPr>
        <w:t xml:space="preserve">):</w:t>
      </w:r>
    </w:p>
    <w:p>
      <w:pPr>
        <w:numPr>
          <w:ilvl w:val="0"/>
          <w:numId w:val="1007"/>
        </w:numPr>
        <w:pStyle w:val="Compact"/>
      </w:pPr>
      <w:r>
        <w:rPr>
          <w:bCs/>
          <w:b/>
        </w:rPr>
        <w:t xml:space="preserve">Clause 1 — quantity mismatch:</w:t>
      </w:r>
      <w:r>
        <w:t xml:space="preserve"> </w:t>
      </w:r>
      <w:r>
        <w:t xml:space="preserve">if</w:t>
      </w:r>
      <w:r>
        <w:t xml:space="preserve"> </w:t>
      </w:r>
      <w:r>
        <w:rPr>
          <w:rStyle w:val="VerbatimChar"/>
        </w:rPr>
        <w:t xml:space="preserve">quantity(i) ≠ quantity(j)</w:t>
      </w:r>
      <w:r>
        <w:t xml:space="preserve">, set T_head[i, j] = 0.</w:t>
      </w:r>
    </w:p>
    <w:p>
      <w:pPr>
        <w:numPr>
          <w:ilvl w:val="0"/>
          <w:numId w:val="1007"/>
        </w:numPr>
        <w:pStyle w:val="Compact"/>
      </w:pPr>
      <w:r>
        <w:rPr>
          <w:bCs/>
          <w:b/>
        </w:rPr>
        <w:t xml:space="preserve">Clause 4 — V1 hard rule:</w:t>
      </w:r>
      <w:r>
        <w:t xml:space="preserve"> </w:t>
      </w:r>
      <w:r>
        <w:t xml:space="preserve">if i = D and j ∈ {C-hole, C-triplet}, set T_head[i, j] = 0 (applied before the per-field clauses below so the JSON</w:t>
      </w:r>
      <w:r>
        <w:t xml:space="preserve"> </w:t>
      </w:r>
      <w:r>
        <w:rPr>
          <w:rStyle w:val="VerbatimChar"/>
        </w:rPr>
        <w:t xml:space="preserve">reasons</w:t>
      </w:r>
      <w:r>
        <w:t xml:space="preserve"> </w:t>
      </w:r>
      <w:r>
        <w:t xml:space="preserve">field attributes D → C-* to V1).</w:t>
      </w:r>
    </w:p>
    <w:p>
      <w:pPr>
        <w:numPr>
          <w:ilvl w:val="0"/>
          <w:numId w:val="1007"/>
        </w:numPr>
        <w:pStyle w:val="Compact"/>
      </w:pPr>
      <w:r>
        <w:rPr>
          <w:bCs/>
          <w:b/>
        </w:rPr>
        <w:t xml:space="preserve">Same-source shortcut:</w:t>
      </w:r>
      <w:r>
        <w:t xml:space="preserve"> </w:t>
      </w:r>
      <w:r>
        <w:t xml:space="preserve">if quantity matches</w:t>
      </w:r>
      <w:r>
        <w:t xml:space="preserve"> </w:t>
      </w:r>
      <w:r>
        <w:rPr>
          <w:iCs/>
          <w:i/>
        </w:rPr>
        <w:t xml:space="preserve">and</w:t>
      </w:r>
      <w:r>
        <w:t xml:space="preserve"> </w:t>
      </w:r>
      <w:r>
        <w:rPr>
          <w:rStyle w:val="VerbatimChar"/>
        </w:rPr>
        <w:t xml:space="preserve">source_id(i) = source_id(j)</w:t>
      </w:r>
      <w:r>
        <w:t xml:space="preserve">, the pair is treated as protocol-compatible by source and the per-field clauses below are skipped. This models the fact that two clients derived from a single public dataset are computed by the dataset’s canonical protocol, which need not be re-verified field-by-field. In our federation the shortcut fires only for A ↔ B (both</w:t>
      </w:r>
      <w:r>
        <w:t xml:space="preserve"> </w:t>
      </w:r>
      <w:r>
        <w:rPr>
          <w:rStyle w:val="VerbatimChar"/>
        </w:rPr>
        <w:t xml:space="preserve">source_id = "qm9_public_reorg_15210"</w:t>
      </w:r>
      <w:r>
        <w:t xml:space="preserve">).</w:t>
      </w:r>
    </w:p>
    <w:p>
      <w:pPr>
        <w:numPr>
          <w:ilvl w:val="0"/>
          <w:numId w:val="1007"/>
        </w:numPr>
        <w:pStyle w:val="Compact"/>
      </w:pPr>
      <w:r>
        <w:rPr>
          <w:bCs/>
          <w:b/>
        </w:rPr>
        <w:t xml:space="preserve">Clause 2 — unknown protocol field:</w:t>
      </w:r>
      <w:r>
        <w:t xml:space="preserve"> </w:t>
      </w:r>
      <w:r>
        <w:t xml:space="preserve">if the shortcut did not fire and any of {functional, basis, geometry, charge_state, conformers} equals</w:t>
      </w:r>
      <w:r>
        <w:t xml:space="preserve"> </w:t>
      </w:r>
      <w:r>
        <w:rPr>
          <w:rStyle w:val="VerbatimChar"/>
        </w:rPr>
        <w:t xml:space="preserve">"unknown"</w:t>
      </w:r>
      <w:r>
        <w:t xml:space="preserve"> </w:t>
      </w:r>
      <w:r>
        <w:t xml:space="preserve">on either side, set T_head[i, j] = 0.</w:t>
      </w:r>
    </w:p>
    <w:p>
      <w:pPr>
        <w:numPr>
          <w:ilvl w:val="0"/>
          <w:numId w:val="1007"/>
        </w:numPr>
        <w:pStyle w:val="Compact"/>
      </w:pPr>
      <w:r>
        <w:rPr>
          <w:bCs/>
          <w:b/>
        </w:rPr>
        <w:t xml:space="preserve">Clause 3 — protocol-field mismatch:</w:t>
      </w:r>
      <w:r>
        <w:t xml:space="preserve"> </w:t>
      </w:r>
      <w:r>
        <w:t xml:space="preserve">if the shortcut did not fire and any populated protocol field disagrees between i and j, set T_head[i, j] = 0.</w:t>
      </w:r>
    </w:p>
    <w:p>
      <w:pPr>
        <w:pStyle w:val="FirstParagraph"/>
      </w:pPr>
      <w:r>
        <w:t xml:space="preserve">For pairs that survive the above (in our federation: A ↔ B plus all diagonals):</w:t>
      </w:r>
    </w:p>
    <w:p>
      <w:pPr>
        <w:pStyle w:val="BodyText"/>
      </w:pPr>
      <m:oMathPara>
        <m:oMathParaPr>
          <m:jc m:val="center"/>
        </m:oMathParaPr>
        <m:oMath>
          <m:sSub>
            <m:e>
              <m:r>
                <m:t>T</m:t>
              </m:r>
            </m:e>
            <m:sub>
              <m:r>
                <m:rPr>
                  <m:sty m:val="p"/>
                </m:rPr>
                <m:t>h</m:t>
              </m:r>
              <m:r>
                <m:rPr>
                  <m:sty m:val="p"/>
                </m:rPr>
                <m:t>e</m:t>
              </m:r>
              <m:r>
                <m:rPr>
                  <m:sty m:val="p"/>
                </m:rPr>
                <m:t>a</m:t>
              </m:r>
              <m:r>
                <m:rPr>
                  <m:sty m:val="p"/>
                </m:rPr>
                <m:t>d</m:t>
              </m:r>
            </m:sub>
          </m:sSub>
          <m:d>
            <m:dPr>
              <m:begChr m:val="["/>
              <m:endChr m:val="]"/>
              <m:sepChr m:val=""/>
              <m:grow/>
            </m:dPr>
            <m:e>
              <m:r>
                <m:t>i</m:t>
              </m:r>
              <m:r>
                <m:rPr>
                  <m:sty m:val="p"/>
                </m:rPr>
                <m:t>,</m:t>
              </m:r>
              <m:r>
                <m:t>j</m:t>
              </m:r>
            </m:e>
          </m:d>
          <m:r>
            <m:rPr>
              <m:sty m:val="p"/>
            </m:rPr>
            <m:t>=</m:t>
          </m:r>
          <m:sSubSup>
            <m:e>
              <m:r>
                <m:t>L</m:t>
              </m:r>
            </m:e>
            <m:sub>
              <m:r>
                <m:t>i</m:t>
              </m:r>
              <m:r>
                <m:t>j</m:t>
              </m:r>
            </m:sub>
            <m:sup>
              <m:sSub>
                <m:e>
                  <m:r>
                    <m:t>γ</m:t>
                  </m:r>
                </m:e>
                <m:sub>
                  <m:r>
                    <m:t>L</m:t>
                  </m:r>
                </m:sub>
              </m:sSub>
            </m:sup>
          </m:sSubSup>
          <m:r>
            <m:rPr>
              <m:sty m:val="p"/>
            </m:rPr>
            <m:t>,</m:t>
          </m:r>
          <m:r>
            <m:t> </m:t>
          </m:r>
          <m:sSub>
            <m:e>
              <m:r>
                <m:t>L</m:t>
              </m:r>
            </m:e>
            <m:sub>
              <m:r>
                <m:t>i</m:t>
              </m:r>
              <m:r>
                <m:t>j</m:t>
              </m:r>
            </m:sub>
          </m:sSub>
          <m:r>
            <m:rPr>
              <m:sty m:val="p"/>
            </m:rPr>
            <m:t>=</m:t>
          </m:r>
          <m:r>
            <m:rPr>
              <m:sty m:val="p"/>
            </m:rPr>
            <m:t>exp</m:t>
          </m:r>
          <m:r>
            <m:t>​</m:t>
          </m:r>
          <m:d>
            <m:dPr>
              <m:begChr m:val="("/>
              <m:endChr m:val=")"/>
              <m:sepChr m:val=""/>
              <m:grow/>
            </m:dPr>
            <m:e>
              <m:r>
                <m:rPr>
                  <m:sty m:val="p"/>
                </m:rPr>
                <m:t>−</m:t>
              </m:r>
              <m:sSub>
                <m:e>
                  <m:r>
                    <m:t>α</m:t>
                  </m:r>
                </m:e>
                <m:sub>
                  <m:r>
                    <m:t>W</m:t>
                  </m:r>
                </m:sub>
              </m:sSub>
              <m:r>
                <m:t> </m:t>
              </m:r>
              <m:sSub>
                <m:e>
                  <m:r>
                    <m:t>W</m:t>
                  </m:r>
                </m:e>
                <m:sub>
                  <m:r>
                    <m:t>1</m:t>
                  </m:r>
                </m:sub>
              </m:sSub>
              <m:d>
                <m:dPr>
                  <m:begChr m:val="("/>
                  <m:endChr m:val=")"/>
                  <m:sepChr m:val=""/>
                  <m:grow/>
                </m:dPr>
                <m:e>
                  <m:sSubSup>
                    <m:e>
                      <m:acc>
                        <m:accPr>
                          <m:chr m:val="̂"/>
                        </m:accPr>
                        <m:e>
                          <m:r>
                            <m:t>p</m:t>
                          </m:r>
                        </m:e>
                      </m:acc>
                    </m:e>
                    <m:sub>
                      <m:r>
                        <m:t>i</m:t>
                      </m:r>
                    </m:sub>
                    <m:sup>
                      <m:r>
                        <m:rPr>
                          <m:sty m:val="p"/>
                        </m:rPr>
                        <m:t>l</m:t>
                      </m:r>
                      <m:r>
                        <m:rPr>
                          <m:sty m:val="p"/>
                        </m:rPr>
                        <m:t>a</m:t>
                      </m:r>
                      <m:r>
                        <m:rPr>
                          <m:sty m:val="p"/>
                        </m:rPr>
                        <m:t>b</m:t>
                      </m:r>
                      <m:r>
                        <m:rPr>
                          <m:sty m:val="p"/>
                        </m:rPr>
                        <m:t>e</m:t>
                      </m:r>
                      <m:r>
                        <m:rPr>
                          <m:sty m:val="p"/>
                        </m:rPr>
                        <m:t>l</m:t>
                      </m:r>
                    </m:sup>
                  </m:sSubSup>
                  <m:r>
                    <m:rPr>
                      <m:sty m:val="p"/>
                    </m:rPr>
                    <m:t>,</m:t>
                  </m:r>
                  <m:r>
                    <m:t> </m:t>
                  </m:r>
                  <m:sSubSup>
                    <m:e>
                      <m:acc>
                        <m:accPr>
                          <m:chr m:val="̂"/>
                        </m:accPr>
                        <m:e>
                          <m:r>
                            <m:t>p</m:t>
                          </m:r>
                        </m:e>
                      </m:acc>
                    </m:e>
                    <m:sub>
                      <m:r>
                        <m:t>j</m:t>
                      </m:r>
                    </m:sub>
                    <m:sup>
                      <m:r>
                        <m:rPr>
                          <m:sty m:val="p"/>
                        </m:rPr>
                        <m:t>l</m:t>
                      </m:r>
                      <m:r>
                        <m:rPr>
                          <m:sty m:val="p"/>
                        </m:rPr>
                        <m:t>a</m:t>
                      </m:r>
                      <m:r>
                        <m:rPr>
                          <m:sty m:val="p"/>
                        </m:rPr>
                        <m:t>b</m:t>
                      </m:r>
                      <m:r>
                        <m:rPr>
                          <m:sty m:val="p"/>
                        </m:rPr>
                        <m:t>e</m:t>
                      </m:r>
                      <m:r>
                        <m:rPr>
                          <m:sty m:val="p"/>
                        </m:rPr>
                        <m:t>l</m:t>
                      </m:r>
                    </m:sup>
                  </m:sSubSup>
                </m:e>
              </m:d>
            </m:e>
          </m:d>
          <m:r>
            <m:rPr>
              <m:sty m:val="p"/>
            </m:rPr>
            <m:t>⋅</m:t>
          </m:r>
          <m:r>
            <m:rPr>
              <m:sty m:val="p"/>
            </m:rPr>
            <m:t>min</m:t>
          </m:r>
          <m:r>
            <m:t>​</m:t>
          </m:r>
          <m:d>
            <m:dPr>
              <m:begChr m:val="("/>
              <m:endChr m:val=")"/>
              <m:sepChr m:val=""/>
              <m:grow/>
            </m:dPr>
            <m:e>
              <m:sSub>
                <m:e>
                  <m:r>
                    <m:t>σ</m:t>
                  </m:r>
                </m:e>
                <m:sub>
                  <m:r>
                    <m:t>i</m:t>
                  </m:r>
                </m:sub>
              </m:sSub>
              <m:r>
                <m:rPr>
                  <m:sty m:val="p"/>
                </m:rPr>
                <m:t>/</m:t>
              </m:r>
              <m:sSub>
                <m:e>
                  <m:r>
                    <m:t>σ</m:t>
                  </m:r>
                </m:e>
                <m:sub>
                  <m:r>
                    <m:t>j</m:t>
                  </m:r>
                </m:sub>
              </m:sSub>
              <m:r>
                <m:rPr>
                  <m:sty m:val="p"/>
                </m:rPr>
                <m:t>,</m:t>
              </m:r>
              <m:r>
                <m:t> </m:t>
              </m:r>
              <m:sSub>
                <m:e>
                  <m:r>
                    <m:t>σ</m:t>
                  </m:r>
                </m:e>
                <m:sub>
                  <m:r>
                    <m:t>j</m:t>
                  </m:r>
                </m:sub>
              </m:sSub>
              <m:r>
                <m:rPr>
                  <m:sty m:val="p"/>
                </m:rPr>
                <m:t>/</m:t>
              </m:r>
              <m:sSub>
                <m:e>
                  <m:r>
                    <m:t>σ</m:t>
                  </m:r>
                </m:e>
                <m:sub>
                  <m:r>
                    <m:t>i</m:t>
                  </m:r>
                </m:sub>
              </m:sSub>
            </m:e>
          </m:d>
          <m:r>
            <m:rPr>
              <m:sty m:val="p"/>
            </m:rPr>
            <m:t>,</m:t>
          </m:r>
        </m:oMath>
      </m:oMathPara>
    </w:p>
    <w:p>
      <w:pPr>
        <w:pStyle w:val="FirstParagraph"/>
      </w:pPr>
      <w:r>
        <w:t xml:space="preserve">with α_W = 5.0, γ_L = 1.0; values below 10⁻² are hard-floored to zero.</w:t>
      </w:r>
    </w:p>
    <w:p>
      <w:pPr>
        <w:pStyle w:val="BodyText"/>
      </w:pPr>
      <w:r>
        <w:rPr>
          <w:bCs/>
          <w:b/>
        </w:rPr>
        <w:t xml:space="preserve">T_adapter (interpolating gate):</w:t>
      </w:r>
    </w:p>
    <w:p>
      <w:pPr>
        <w:pStyle w:val="BodyText"/>
      </w:pPr>
      <m:oMathPara>
        <m:oMathParaPr>
          <m:jc m:val="center"/>
        </m:oMathParaPr>
        <m:oMath>
          <m:sSub>
            <m:e>
              <m:r>
                <m:t>T</m:t>
              </m:r>
            </m:e>
            <m:sub>
              <m:r>
                <m:rPr>
                  <m:sty m:val="p"/>
                </m:rPr>
                <m:t>a</m:t>
              </m:r>
              <m:r>
                <m:rPr>
                  <m:sty m:val="p"/>
                </m:rPr>
                <m:t>d</m:t>
              </m:r>
              <m:r>
                <m:rPr>
                  <m:sty m:val="p"/>
                </m:rPr>
                <m:t>a</m:t>
              </m:r>
              <m:r>
                <m:rPr>
                  <m:sty m:val="p"/>
                </m:rPr>
                <m:t>p</m:t>
              </m:r>
              <m:r>
                <m:rPr>
                  <m:sty m:val="p"/>
                </m:rPr>
                <m:t>t</m:t>
              </m:r>
              <m:r>
                <m:rPr>
                  <m:sty m:val="p"/>
                </m:rPr>
                <m:t>e</m:t>
              </m:r>
              <m:r>
                <m:rPr>
                  <m:sty m:val="p"/>
                </m:rPr>
                <m:t>r</m:t>
              </m:r>
            </m:sub>
          </m:sSub>
          <m:d>
            <m:dPr>
              <m:begChr m:val="["/>
              <m:endChr m:val="]"/>
              <m:sepChr m:val=""/>
              <m:grow/>
            </m:dPr>
            <m:e>
              <m:r>
                <m:t>i</m:t>
              </m:r>
              <m:r>
                <m:rPr>
                  <m:sty m:val="p"/>
                </m:rPr>
                <m:t>,</m:t>
              </m:r>
              <m:r>
                <m:t>j</m:t>
              </m:r>
            </m:e>
          </m:d>
          <m:r>
            <m:rPr>
              <m:sty m:val="p"/>
            </m:rPr>
            <m:t>=</m:t>
          </m:r>
          <m:r>
            <m:rPr>
              <m:sty m:val="p"/>
            </m:rPr>
            <m:t>max</m:t>
          </m:r>
          <m:r>
            <m:t>​</m:t>
          </m:r>
          <m:d>
            <m:dPr>
              <m:begChr m:val="("/>
              <m:endChr m:val=")"/>
              <m:sepChr m:val=""/>
              <m:grow/>
            </m:dPr>
            <m:e>
              <m:sSub>
                <m:e>
                  <m:r>
                    <m:t>ϵ</m:t>
                  </m:r>
                </m:e>
                <m:sub>
                  <m:r>
                    <m:t>a</m:t>
                  </m:r>
                </m:sub>
              </m:sSub>
              <m:r>
                <m:rPr>
                  <m:sty m:val="p"/>
                </m:rPr>
                <m:t>,</m:t>
              </m:r>
              <m:r>
                <m:t> </m:t>
              </m:r>
              <m:rad>
                <m:radPr>
                  <m:degHide m:val="on"/>
                </m:radPr>
                <m:deg/>
                <m:e>
                  <m:sSub>
                    <m:e>
                      <m:r>
                        <m:t>T</m:t>
                      </m:r>
                    </m:e>
                    <m:sub>
                      <m:r>
                        <m:rPr>
                          <m:sty m:val="p"/>
                        </m:rPr>
                        <m:t>r</m:t>
                      </m:r>
                      <m:r>
                        <m:rPr>
                          <m:sty m:val="p"/>
                        </m:rPr>
                        <m:t>e</m:t>
                      </m:r>
                      <m:r>
                        <m:rPr>
                          <m:sty m:val="p"/>
                        </m:rPr>
                        <m:t>p</m:t>
                      </m:r>
                      <m:r>
                        <m:rPr>
                          <m:sty m:val="p"/>
                        </m:rPr>
                        <m:t>r</m:t>
                      </m:r>
                    </m:sub>
                  </m:sSub>
                  <m:d>
                    <m:dPr>
                      <m:begChr m:val="["/>
                      <m:endChr m:val="]"/>
                      <m:sepChr m:val=""/>
                      <m:grow/>
                    </m:dPr>
                    <m:e>
                      <m:r>
                        <m:t>i</m:t>
                      </m:r>
                      <m:r>
                        <m:rPr>
                          <m:sty m:val="p"/>
                        </m:rPr>
                        <m:t>,</m:t>
                      </m:r>
                      <m:r>
                        <m:t>j</m:t>
                      </m:r>
                    </m:e>
                  </m:d>
                  <m:r>
                    <m:rPr>
                      <m:sty m:val="p"/>
                    </m:rPr>
                    <m:t>⋅</m:t>
                  </m:r>
                  <m:sSub>
                    <m:e>
                      <m:r>
                        <m:t>T</m:t>
                      </m:r>
                    </m:e>
                    <m:sub>
                      <m:r>
                        <m:rPr>
                          <m:sty m:val="p"/>
                        </m:rPr>
                        <m:t>h</m:t>
                      </m:r>
                      <m:r>
                        <m:rPr>
                          <m:sty m:val="p"/>
                        </m:rPr>
                        <m:t>e</m:t>
                      </m:r>
                      <m:r>
                        <m:rPr>
                          <m:sty m:val="p"/>
                        </m:rPr>
                        <m:t>a</m:t>
                      </m:r>
                      <m:r>
                        <m:rPr>
                          <m:sty m:val="p"/>
                        </m:rPr>
                        <m:t>d</m:t>
                      </m:r>
                    </m:sub>
                  </m:sSub>
                  <m:d>
                    <m:dPr>
                      <m:begChr m:val="["/>
                      <m:endChr m:val="]"/>
                      <m:sepChr m:val=""/>
                      <m:grow/>
                    </m:dPr>
                    <m:e>
                      <m:r>
                        <m:t>i</m:t>
                      </m:r>
                      <m:r>
                        <m:rPr>
                          <m:sty m:val="p"/>
                        </m:rPr>
                        <m:t>,</m:t>
                      </m:r>
                      <m:r>
                        <m:t>j</m:t>
                      </m:r>
                    </m:e>
                  </m:d>
                </m:e>
              </m:rad>
            </m:e>
          </m:d>
          <m:r>
            <m:rPr>
              <m:sty m:val="p"/>
            </m:rPr>
            <m:t>.</m:t>
          </m:r>
        </m:oMath>
      </m:oMathPara>
    </w:p>
    <w:bookmarkEnd w:id="39"/>
    <w:bookmarkStart w:id="40" w:name="s4.2-numerical-values-used-in-this-study"/>
    <w:p>
      <w:pPr>
        <w:pStyle w:val="Heading3"/>
      </w:pPr>
      <w:r>
        <w:t xml:space="preserve">S4.2 Numerical values used in this study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 → target)</w:t>
            </w:r>
          </w:p>
        </w:tc>
        <w:tc>
          <w:tcPr/>
          <w:p>
            <w:pPr>
              <w:pStyle w:val="Compact"/>
              <w:jc w:val="left"/>
            </w:pPr>
            <w:r>
              <w:t xml:space="preserve">T_repr</w:t>
            </w:r>
          </w:p>
        </w:tc>
        <w:tc>
          <w:tcPr/>
          <w:p>
            <w:pPr>
              <w:pStyle w:val="Compact"/>
              <w:jc w:val="left"/>
            </w:pPr>
            <w:r>
              <w:t xml:space="preserve">T_adapter</w:t>
            </w:r>
          </w:p>
        </w:tc>
        <w:tc>
          <w:tcPr/>
          <w:p>
            <w:pPr>
              <w:pStyle w:val="Compact"/>
              <w:jc w:val="left"/>
            </w:pPr>
            <w:r>
              <w:t xml:space="preserve">T_head</w:t>
            </w:r>
          </w:p>
        </w:tc>
      </w:tr>
      <w:tr>
        <w:tc>
          <w:tcPr/>
          <w:p>
            <w:pPr>
              <w:pStyle w:val="Compact"/>
              <w:jc w:val="left"/>
            </w:pPr>
            <w:r>
              <w:t xml:space="preserve">A → B</w:t>
            </w:r>
          </w:p>
        </w:tc>
        <w:tc>
          <w:tcPr/>
          <w:p>
            <w:pPr>
              <w:pStyle w:val="Compact"/>
              <w:jc w:val="left"/>
            </w:pPr>
            <w:r>
              <w:t xml:space="preserve">0.16</w:t>
            </w:r>
          </w:p>
        </w:tc>
        <w:tc>
          <w:tcPr/>
          <w:p>
            <w:pPr>
              <w:pStyle w:val="Compact"/>
              <w:jc w:val="left"/>
            </w:pPr>
            <w:r>
              <w:t xml:space="preserve">0.23</w:t>
            </w:r>
          </w:p>
        </w:tc>
        <w:tc>
          <w:tcPr/>
          <w:p>
            <w:pPr>
              <w:pStyle w:val="Compact"/>
              <w:jc w:val="left"/>
            </w:pPr>
            <w:r>
              <w:t xml:space="preserve">0.33</w:t>
            </w:r>
          </w:p>
        </w:tc>
      </w:tr>
      <w:tr>
        <w:tc>
          <w:tcPr/>
          <w:p>
            <w:pPr>
              <w:pStyle w:val="Compact"/>
              <w:jc w:val="left"/>
            </w:pPr>
            <w:r>
              <w:t xml:space="preserve">B → A</w:t>
            </w:r>
          </w:p>
        </w:tc>
        <w:tc>
          <w:tcPr/>
          <w:p>
            <w:pPr>
              <w:pStyle w:val="Compact"/>
              <w:jc w:val="left"/>
            </w:pPr>
            <w:r>
              <w:t xml:space="preserve">0.15</w:t>
            </w:r>
          </w:p>
        </w:tc>
        <w:tc>
          <w:tcPr/>
          <w:p>
            <w:pPr>
              <w:pStyle w:val="Compact"/>
              <w:jc w:val="left"/>
            </w:pPr>
            <w:r>
              <w:t xml:space="preserve">0.22</w:t>
            </w:r>
          </w:p>
        </w:tc>
        <w:tc>
          <w:tcPr/>
          <w:p>
            <w:pPr>
              <w:pStyle w:val="Compact"/>
              <w:jc w:val="left"/>
            </w:pPr>
            <w:r>
              <w:t xml:space="preserve">0.33</w:t>
            </w:r>
          </w:p>
        </w:tc>
      </w:tr>
      <w:tr>
        <w:tc>
          <w:tcPr/>
          <w:p>
            <w:pPr>
              <w:pStyle w:val="Compact"/>
              <w:jc w:val="left"/>
            </w:pPr>
            <w:r>
              <w:t xml:space="preserve">C-hole → C-triplet</w:t>
            </w:r>
          </w:p>
        </w:tc>
        <w:tc>
          <w:tcPr/>
          <w:p>
            <w:pPr>
              <w:pStyle w:val="Compact"/>
              <w:jc w:val="left"/>
            </w:pPr>
            <w:r>
              <w:t xml:space="preserve">0.98</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C-triplet → C-hole</w:t>
            </w:r>
          </w:p>
        </w:tc>
        <w:tc>
          <w:tcPr/>
          <w:p>
            <w:pPr>
              <w:pStyle w:val="Compact"/>
              <w:jc w:val="left"/>
            </w:pPr>
            <w:r>
              <w:t xml:space="preserve">1.00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 → C-hole</w:t>
            </w:r>
          </w:p>
        </w:tc>
        <w:tc>
          <w:tcPr/>
          <w:p>
            <w:pPr>
              <w:pStyle w:val="Compact"/>
              <w:jc w:val="left"/>
            </w:pPr>
            <w:r>
              <w:t xml:space="preserve">0.05</w:t>
            </w:r>
          </w:p>
        </w:tc>
        <w:tc>
          <w:tcPr/>
          <w:p>
            <w:pPr>
              <w:pStyle w:val="Compact"/>
              <w:jc w:val="left"/>
            </w:pPr>
            <w:r>
              <w:t xml:space="preserve">~0</w:t>
            </w:r>
          </w:p>
        </w:tc>
        <w:tc>
          <w:tcPr/>
          <w:p>
            <w:pPr>
              <w:pStyle w:val="Compact"/>
              <w:jc w:val="left"/>
            </w:pPr>
            <w:r>
              <w:rPr>
                <w:bCs/>
                <w:b/>
              </w:rPr>
              <w:t xml:space="preserve">0 (V1 hard rule; D’s geometry/charge-state/conformers also unknown)</w:t>
            </w:r>
          </w:p>
        </w:tc>
      </w:tr>
      <w:tr>
        <w:tc>
          <w:tcPr/>
          <w:p>
            <w:pPr>
              <w:pStyle w:val="Compact"/>
              <w:jc w:val="left"/>
            </w:pPr>
            <w:r>
              <w:t xml:space="preserve">D → C-triplet</w:t>
            </w:r>
          </w:p>
        </w:tc>
        <w:tc>
          <w:tcPr/>
          <w:p>
            <w:pPr>
              <w:pStyle w:val="Compact"/>
              <w:jc w:val="left"/>
            </w:pPr>
            <w:r>
              <w:t xml:space="preserve">0.05</w:t>
            </w:r>
          </w:p>
        </w:tc>
        <w:tc>
          <w:tcPr/>
          <w:p>
            <w:pPr>
              <w:pStyle w:val="Compact"/>
              <w:jc w:val="left"/>
            </w:pPr>
            <w:r>
              <w:t xml:space="preserve">~0</w:t>
            </w:r>
          </w:p>
        </w:tc>
        <w:tc>
          <w:tcPr/>
          <w:p>
            <w:pPr>
              <w:pStyle w:val="Compact"/>
              <w:jc w:val="left"/>
            </w:pPr>
            <w:r>
              <w:rPr>
                <w:bCs/>
                <w:b/>
              </w:rPr>
              <w:t xml:space="preserve">0 (quantity mismatch)</w:t>
            </w:r>
          </w:p>
        </w:tc>
      </w:tr>
      <w:tr>
        <w:tc>
          <w:tcPr/>
          <w:p>
            <w:pPr>
              <w:pStyle w:val="Compact"/>
              <w:jc w:val="left"/>
            </w:pPr>
            <w:r>
              <w:t xml:space="preserve">A → C-hole</w:t>
            </w:r>
          </w:p>
        </w:tc>
        <w:tc>
          <w:tcPr/>
          <w:p>
            <w:pPr>
              <w:pStyle w:val="Compact"/>
              <w:jc w:val="left"/>
            </w:pPr>
            <w:r>
              <w:t xml:space="preserve">~0.07</w:t>
            </w:r>
          </w:p>
        </w:tc>
        <w:tc>
          <w:tcPr/>
          <w:p>
            <w:pPr>
              <w:pStyle w:val="Compact"/>
              <w:jc w:val="left"/>
            </w:pPr>
            <w:r>
              <w:t xml:space="preserve">~0</w:t>
            </w:r>
          </w:p>
        </w:tc>
        <w:tc>
          <w:tcPr/>
          <w:p>
            <w:pPr>
              <w:pStyle w:val="Compact"/>
              <w:jc w:val="left"/>
            </w:pPr>
            <w:r>
              <w:t xml:space="preserve">0 (clause 1: A’s quantity tag is</w:t>
            </w:r>
            <w:r>
              <w:t xml:space="preserve"> </w:t>
            </w:r>
            <w:r>
              <w:rPr>
                <w:rStyle w:val="VerbatimChar"/>
              </w:rPr>
              <w:t xml:space="preserve">reorg_energy_general</w:t>
            </w:r>
            <w:r>
              <w:t xml:space="preserve">; same-source shortcut does not apply because</w:t>
            </w:r>
            <w:r>
              <w:t xml:space="preserve"> </w:t>
            </w:r>
            <w:r>
              <w:rPr>
                <w:rStyle w:val="VerbatimChar"/>
              </w:rPr>
              <w:t xml:space="preserve">source_id(A) ≠ source_id(C-hole)</w:t>
            </w:r>
            <w:r>
              <w:t xml:space="preserve">)</w:t>
            </w:r>
          </w:p>
        </w:tc>
      </w:tr>
      <w:tr>
        <w:tc>
          <w:tcPr/>
          <w:p>
            <w:pPr>
              <w:pStyle w:val="Compact"/>
              <w:jc w:val="left"/>
            </w:pPr>
            <w:r>
              <w:t xml:space="preserve">A → C-triplet</w:t>
            </w:r>
          </w:p>
        </w:tc>
        <w:tc>
          <w:tcPr/>
          <w:p>
            <w:pPr>
              <w:pStyle w:val="Compact"/>
              <w:jc w:val="left"/>
            </w:pPr>
            <w:r>
              <w:t xml:space="preserve">~0.07</w:t>
            </w:r>
          </w:p>
        </w:tc>
        <w:tc>
          <w:tcPr/>
          <w:p>
            <w:pPr>
              <w:pStyle w:val="Compact"/>
              <w:jc w:val="left"/>
            </w:pPr>
            <w:r>
              <w:t xml:space="preserve">~0</w:t>
            </w:r>
          </w:p>
        </w:tc>
        <w:tc>
          <w:tcPr/>
          <w:p>
            <w:pPr>
              <w:pStyle w:val="Compact"/>
              <w:jc w:val="left"/>
            </w:pPr>
            <w:r>
              <w:t xml:space="preserve">0 (quantity mismatch)</w:t>
            </w:r>
          </w:p>
        </w:tc>
      </w:tr>
      <w:tr>
        <w:tc>
          <w:tcPr/>
          <w:p>
            <w:pPr>
              <w:pStyle w:val="Compact"/>
              <w:jc w:val="left"/>
            </w:pPr>
            <w:r>
              <w:t xml:space="preserve">B → C-hole</w:t>
            </w:r>
          </w:p>
        </w:tc>
        <w:tc>
          <w:tcPr/>
          <w:p>
            <w:pPr>
              <w:pStyle w:val="Compact"/>
              <w:jc w:val="left"/>
            </w:pPr>
            <w:r>
              <w:t xml:space="preserve">~0.07</w:t>
            </w:r>
          </w:p>
        </w:tc>
        <w:tc>
          <w:tcPr/>
          <w:p>
            <w:pPr>
              <w:pStyle w:val="Compact"/>
              <w:jc w:val="left"/>
            </w:pPr>
            <w:r>
              <w:t xml:space="preserve">~0</w:t>
            </w:r>
          </w:p>
        </w:tc>
        <w:tc>
          <w:tcPr/>
          <w:p>
            <w:pPr>
              <w:pStyle w:val="Compact"/>
              <w:jc w:val="left"/>
            </w:pPr>
            <w:r>
              <w:t xml:space="preserve">0 (clause 1: B’s quantity tag is</w:t>
            </w:r>
            <w:r>
              <w:t xml:space="preserve"> </w:t>
            </w:r>
            <w:r>
              <w:rPr>
                <w:rStyle w:val="VerbatimChar"/>
              </w:rPr>
              <w:t xml:space="preserve">reorg_energy_general</w:t>
            </w:r>
            <w:r>
              <w:t xml:space="preserve">; same-source shortcut does not apply because</w:t>
            </w:r>
            <w:r>
              <w:t xml:space="preserve"> </w:t>
            </w:r>
            <w:r>
              <w:rPr>
                <w:rStyle w:val="VerbatimChar"/>
              </w:rPr>
              <w:t xml:space="preserve">source_id(B) ≠ source_id(C-hole)</w:t>
            </w:r>
            <w:r>
              <w:t xml:space="preserve">)</w:t>
            </w:r>
          </w:p>
        </w:tc>
      </w:tr>
      <w:tr>
        <w:tc>
          <w:tcPr/>
          <w:p>
            <w:pPr>
              <w:pStyle w:val="Compact"/>
              <w:jc w:val="left"/>
            </w:pPr>
            <w:r>
              <w:t xml:space="preserve">B → C-triplet</w:t>
            </w:r>
          </w:p>
        </w:tc>
        <w:tc>
          <w:tcPr/>
          <w:p>
            <w:pPr>
              <w:pStyle w:val="Compact"/>
              <w:jc w:val="left"/>
            </w:pPr>
            <w:r>
              <w:t xml:space="preserve">~0.07</w:t>
            </w:r>
          </w:p>
        </w:tc>
        <w:tc>
          <w:tcPr/>
          <w:p>
            <w:pPr>
              <w:pStyle w:val="Compact"/>
              <w:jc w:val="left"/>
            </w:pPr>
            <w:r>
              <w:t xml:space="preserve">~0</w:t>
            </w:r>
          </w:p>
        </w:tc>
        <w:tc>
          <w:tcPr/>
          <w:p>
            <w:pPr>
              <w:pStyle w:val="Compact"/>
              <w:jc w:val="left"/>
            </w:pPr>
            <w:r>
              <w:t xml:space="preserve">0 (quantity mismatch)</w:t>
            </w:r>
          </w:p>
        </w:tc>
      </w:tr>
    </w:tbl>
    <w:p>
      <w:pPr>
        <w:pStyle w:val="BodyText"/>
      </w:pPr>
      <w:r>
        <w:t xml:space="preserve">Full 5 × 5 matrices for all three gates are persisted in</w:t>
      </w:r>
      <w:r>
        <w:t xml:space="preserve"> </w:t>
      </w:r>
      <w:r>
        <w:rPr>
          <w:rStyle w:val="VerbatimChar"/>
        </w:rPr>
        <w:t xml:space="preserve">results/preverify/T_transferability.json</w:t>
      </w:r>
      <w:r>
        <w:t xml:space="preserve">.</w:t>
      </w:r>
    </w:p>
    <w:bookmarkEnd w:id="40"/>
    <w:bookmarkStart w:id="41" w:name="s4.3-invariants-generated-by-the-clauses"/>
    <w:p>
      <w:pPr>
        <w:pStyle w:val="Heading3"/>
      </w:pPr>
      <w:r>
        <w:t xml:space="preserve">S4.3 Invariants generated by the clauses</w:t>
      </w:r>
    </w:p>
    <w:p>
      <w:pPr>
        <w:pStyle w:val="FirstParagraph"/>
      </w:pPr>
      <w:r>
        <w:t xml:space="preserve">The conservative T_head rules generate four key invariants that hold independently of any model training:</w:t>
      </w:r>
    </w:p>
    <w:p>
      <w:pPr>
        <w:numPr>
          <w:ilvl w:val="0"/>
          <w:numId w:val="1008"/>
        </w:numPr>
        <w:pStyle w:val="Compact"/>
      </w:pPr>
      <w:r>
        <w:rPr>
          <w:bCs/>
          <w:b/>
        </w:rPr>
        <w:t xml:space="preserve">T_head[D, C-hole] = 0</w:t>
      </w:r>
      <w:r>
        <w:t xml:space="preserve"> </w:t>
      </w:r>
      <w:r>
        <w:t xml:space="preserve">— reported by clause 4 (V1 hard rule). Clauses 2 (D’s protocol fields are unknown) and 3 (functional family differs: B3LYP vs. ωB97X-D) would each independently block this pair, so the invariant is multiply-determined.</w:t>
      </w:r>
    </w:p>
    <w:p>
      <w:pPr>
        <w:numPr>
          <w:ilvl w:val="0"/>
          <w:numId w:val="1008"/>
        </w:numPr>
        <w:pStyle w:val="Compact"/>
      </w:pPr>
      <w:r>
        <w:rPr>
          <w:bCs/>
          <w:b/>
        </w:rPr>
        <w:t xml:space="preserve">T_head[D, C-triplet] = 0</w:t>
      </w:r>
      <w:r>
        <w:t xml:space="preserve"> </w:t>
      </w:r>
      <w:r>
        <w:t xml:space="preserve">— reported by clause 1 (quantity mismatch: hole-λ vs. triplet-λ); D’s metadata gap is irrelevant here.</w:t>
      </w:r>
    </w:p>
    <w:p>
      <w:pPr>
        <w:numPr>
          <w:ilvl w:val="0"/>
          <w:numId w:val="1008"/>
        </w:numPr>
        <w:pStyle w:val="Compact"/>
      </w:pPr>
      <w:r>
        <w:rPr>
          <w:bCs/>
          <w:b/>
        </w:rPr>
        <w:t xml:space="preserve">T_head[C-hole, C-triplet] = 0</w:t>
      </w:r>
      <w:r>
        <w:t xml:space="preserve"> </w:t>
      </w:r>
      <w:r>
        <w:t xml:space="preserve">— reported by clause 1.</w:t>
      </w:r>
    </w:p>
    <w:p>
      <w:pPr>
        <w:numPr>
          <w:ilvl w:val="0"/>
          <w:numId w:val="1008"/>
        </w:numPr>
        <w:pStyle w:val="Compact"/>
      </w:pPr>
      <w:r>
        <w:rPr>
          <w:bCs/>
          <w:b/>
        </w:rPr>
        <w:t xml:space="preserve">T_head[C-triplet, C-hole] = 0</w:t>
      </w:r>
      <w:r>
        <w:t xml:space="preserve"> </w:t>
      </w:r>
      <w:r>
        <w:t xml:space="preserve">— reported by clause 1.</w:t>
      </w:r>
    </w:p>
    <w:p>
      <w:pPr>
        <w:numPr>
          <w:ilvl w:val="0"/>
          <w:numId w:val="1008"/>
        </w:numPr>
        <w:pStyle w:val="Compact"/>
      </w:pPr>
      <w:r>
        <w:rPr>
          <w:bCs/>
          <w:b/>
        </w:rPr>
        <w:t xml:space="preserve">T_head[A, B] = T_head[B, A] = 0.33</w:t>
      </w:r>
      <w:r>
        <w:t xml:space="preserve"> </w:t>
      </w:r>
      <w:r>
        <w:t xml:space="preserve">— the only non-zero off-diagonal of T_head. The same-source shortcut fires because A and B share</w:t>
      </w:r>
      <w:r>
        <w:t xml:space="preserve"> </w:t>
      </w:r>
      <w:r>
        <w:rPr>
          <w:rStyle w:val="VerbatimChar"/>
        </w:rPr>
        <w:t xml:space="preserve">source_id = "qm9_public_reorg_15210"</w:t>
      </w:r>
      <w:r>
        <w:t xml:space="preserve"> </w:t>
      </w:r>
      <w:r>
        <w:t xml:space="preserve">and</w:t>
      </w:r>
      <w:r>
        <w:t xml:space="preserve"> </w:t>
      </w:r>
      <w:r>
        <w:rPr>
          <w:rStyle w:val="VerbatimChar"/>
        </w:rPr>
        <w:t xml:space="preserve">quantity = "reorg_energy_general"</w:t>
      </w:r>
      <w:r>
        <w:t xml:space="preserve">; the per-field clauses 2 and 3 are therefore skipped, and L_AB is evaluated from the label distributions.</w:t>
      </w:r>
    </w:p>
    <w:p>
      <w:pPr>
        <w:pStyle w:val="FirstParagraph"/>
      </w:pPr>
      <w:r>
        <w:t xml:space="preserve">These invariants are verified by</w:t>
      </w:r>
      <w:r>
        <w:t xml:space="preserve"> </w:t>
      </w:r>
      <w:r>
        <w:rPr>
          <w:rStyle w:val="VerbatimChar"/>
        </w:rPr>
        <w:t xml:space="preserve">tests/test_transferability.py</w:t>
      </w:r>
      <w:r>
        <w:t xml:space="preserve"> </w:t>
      </w:r>
      <w:r>
        <w:t xml:space="preserve">(22 cases) and can be re-checked at any time by reading</w:t>
      </w:r>
      <w:r>
        <w:t xml:space="preserve"> </w:t>
      </w:r>
      <w:r>
        <w:rPr>
          <w:rStyle w:val="VerbatimChar"/>
        </w:rPr>
        <w:t xml:space="preserve">T_transferability.json</w:t>
      </w:r>
      <w:r>
        <w:t xml:space="preserve">. The verification does not require model training; it only requires the chemistry-overlap statistics from V3 and the protocol metadata from V1.</w:t>
      </w:r>
    </w:p>
    <w:bookmarkEnd w:id="41"/>
    <w:bookmarkStart w:id="42" w:name="s4.4-auditability-not-performance-lever"/>
    <w:p>
      <w:pPr>
        <w:pStyle w:val="Heading3"/>
      </w:pPr>
      <w:r>
        <w:t xml:space="preserve">S4.4 Auditability, not performance lever</w:t>
      </w:r>
    </w:p>
    <w:p>
      <w:pPr>
        <w:pStyle w:val="FirstParagraph"/>
      </w:pPr>
      <w:r>
        <w:t xml:space="preserve">The transferability matrices serve in this manuscript as</w:t>
      </w:r>
      <w:r>
        <w:t xml:space="preserve"> </w:t>
      </w:r>
      <w:r>
        <w:rPr>
          <w:bCs/>
          <w:b/>
        </w:rPr>
        <w:t xml:space="preserve">auditable algorithmic transparency</w:t>
      </w:r>
      <w:r>
        <w:t xml:space="preserve">: they document which source–target sharings are</w:t>
      </w:r>
      <w:r>
        <w:t xml:space="preserve"> </w:t>
      </w:r>
      <w:r>
        <w:rPr>
          <w:iCs/>
          <w:i/>
        </w:rPr>
        <w:t xml:space="preserve">permitted</w:t>
      </w:r>
      <w:r>
        <w:t xml:space="preserve"> </w:t>
      </w:r>
      <w:r>
        <w:t xml:space="preserve">by chemistry and protocol metadata, independently of any optimization outcome. The empirical question of whether the gate also</w:t>
      </w:r>
      <w:r>
        <w:t xml:space="preserve"> </w:t>
      </w:r>
      <w:r>
        <w:rPr>
          <w:iCs/>
          <w:i/>
        </w:rPr>
        <w:t xml:space="preserve">improves</w:t>
      </w:r>
      <w:r>
        <w:t xml:space="preserve"> </w:t>
      </w:r>
      <w:r>
        <w:t xml:space="preserve">performance over uniform weighting is examined in S7 (E68, E69) and is, in the present federation, answered negatively — the chemistry/protocol gate is not the source of PC²-FedReorg’s C-triplet improvement.</w:t>
      </w:r>
    </w:p>
    <w:p>
      <w:r>
        <w:pict>
          <v:rect style="width:0;height:1.5pt" o:hralign="center" o:hrstd="t" o:hr="t"/>
        </w:pict>
      </w:r>
    </w:p>
    <w:bookmarkEnd w:id="42"/>
    <w:bookmarkEnd w:id="43"/>
    <w:bookmarkStart w:id="49" w:name="s5.-full-performance-results"/>
    <w:p>
      <w:pPr>
        <w:pStyle w:val="Heading2"/>
      </w:pPr>
      <w:r>
        <w:t xml:space="preserve">S5. Full performance results</w:t>
      </w:r>
    </w:p>
    <w:bookmarkStart w:id="44" w:name="s5.1-aggregated-mean-sem"/>
    <w:p>
      <w:pPr>
        <w:pStyle w:val="Heading3"/>
      </w:pPr>
      <w:r>
        <w:t xml:space="preserve">S5.1 Aggregated mean ± SEM</w:t>
      </w:r>
    </w:p>
    <w:p>
      <w:pPr>
        <w:pStyle w:val="FirstParagraph"/>
      </w:pPr>
      <w:r>
        <w:t xml:space="preserve">Aggregated 5-seed means and standard errors for each (method, target) cell are released in</w:t>
      </w:r>
      <w:r>
        <w:t xml:space="preserve"> </w:t>
      </w:r>
      <w:r>
        <w:rPr>
          <w:rStyle w:val="VerbatimChar"/>
        </w:rPr>
        <w:t xml:space="preserve">results/pc2_batch1_multiseed_summary.csv</w:t>
      </w:r>
      <w:r>
        <w:t xml:space="preserve"> </w:t>
      </w:r>
      <w:r>
        <w:t xml:space="preserve">and</w:t>
      </w:r>
      <w:r>
        <w:t xml:space="preserve"> </w:t>
      </w:r>
      <w:r>
        <w:rPr>
          <w:rStyle w:val="VerbatimChar"/>
        </w:rPr>
        <w:t xml:space="preserve">results/pc2_phase5_ablation_summary.csv</w:t>
      </w:r>
      <w:r>
        <w:t xml:space="preserve">, and summarized in main-text Table 2 (</w:t>
      </w:r>
      <w:r>
        <w:rPr>
          <w:rStyle w:val="VerbatimChar"/>
        </w:rPr>
        <w:t xml:space="preserve">paper/tables/table2_main_performance.csv</w:t>
      </w:r>
      <w:r>
        <w:t xml:space="preserve">). MAE, RMSE and R² are reported; R² is auxiliary (see S2.2).</w:t>
      </w:r>
    </w:p>
    <w:bookmarkEnd w:id="44"/>
    <w:bookmarkStart w:id="45" w:name="s5.2-a-and-b-5-fold-cross-validation"/>
    <w:p>
      <w:pPr>
        <w:pStyle w:val="Heading3"/>
      </w:pPr>
      <w:r>
        <w:t xml:space="preserve">S5.2 A and B 5-fold cross-validation</w:t>
      </w:r>
    </w:p>
    <w:p>
      <w:pPr>
        <w:pStyle w:val="FirstParagraph"/>
      </w:pPr>
      <w:r>
        <w:t xml:space="preserve">For Clients A and B we report 5-fold mean ± SEM across the five seeds. Headline values (MAE in 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A (n=6020)</w:t>
            </w:r>
          </w:p>
        </w:tc>
        <w:tc>
          <w:tcPr/>
          <w:p>
            <w:pPr>
              <w:pStyle w:val="Compact"/>
              <w:jc w:val="left"/>
            </w:pPr>
            <w:r>
              <w:t xml:space="preserve">B (n=9190)</w:t>
            </w:r>
          </w:p>
        </w:tc>
      </w:tr>
      <w:tr>
        <w:tc>
          <w:tcPr/>
          <w:p>
            <w:pPr>
              <w:pStyle w:val="Compact"/>
              <w:jc w:val="left"/>
            </w:pPr>
            <w:r>
              <w:t xml:space="preserve">FedAvg</w:t>
            </w:r>
          </w:p>
        </w:tc>
        <w:tc>
          <w:tcPr/>
          <w:p>
            <w:pPr>
              <w:pStyle w:val="Compact"/>
              <w:jc w:val="left"/>
            </w:pPr>
            <w:r>
              <w:t xml:space="preserve">0.171</w:t>
            </w:r>
          </w:p>
        </w:tc>
        <w:tc>
          <w:tcPr/>
          <w:p>
            <w:pPr>
              <w:pStyle w:val="Compact"/>
              <w:jc w:val="left"/>
            </w:pPr>
            <w:r>
              <w:t xml:space="preserve">0.103</w:t>
            </w:r>
          </w:p>
        </w:tc>
      </w:tr>
      <w:tr>
        <w:tc>
          <w:tcPr/>
          <w:p>
            <w:pPr>
              <w:pStyle w:val="Compact"/>
              <w:jc w:val="left"/>
            </w:pPr>
            <w:r>
              <w:t xml:space="preserve">FedProx</w:t>
            </w:r>
          </w:p>
        </w:tc>
        <w:tc>
          <w:tcPr/>
          <w:p>
            <w:pPr>
              <w:pStyle w:val="Compact"/>
              <w:jc w:val="left"/>
            </w:pPr>
            <w:r>
              <w:t xml:space="preserve">similar to FedAvg</w:t>
            </w:r>
          </w:p>
        </w:tc>
        <w:tc>
          <w:tcPr/>
          <w:p>
            <w:pPr>
              <w:pStyle w:val="Compact"/>
              <w:jc w:val="left"/>
            </w:pPr>
            <w:r>
              <w:t xml:space="preserve">similar</w:t>
            </w:r>
          </w:p>
        </w:tc>
      </w:tr>
      <w:tr>
        <w:tc>
          <w:tcPr/>
          <w:p>
            <w:pPr>
              <w:pStyle w:val="Compact"/>
              <w:jc w:val="left"/>
            </w:pPr>
            <w:r>
              <w:t xml:space="preserve">FedPer</w:t>
            </w:r>
          </w:p>
        </w:tc>
        <w:tc>
          <w:tcPr/>
          <w:p>
            <w:pPr>
              <w:pStyle w:val="Compact"/>
              <w:jc w:val="left"/>
            </w:pPr>
            <w:r>
              <w:t xml:space="preserve">competitive</w:t>
            </w:r>
          </w:p>
        </w:tc>
        <w:tc>
          <w:tcPr/>
          <w:p>
            <w:pPr>
              <w:pStyle w:val="Compact"/>
              <w:jc w:val="left"/>
            </w:pPr>
            <w:r>
              <w:t xml:space="preserve">competitive</w:t>
            </w:r>
          </w:p>
        </w:tc>
      </w:tr>
      <w:tr>
        <w:tc>
          <w:tcPr/>
          <w:p>
            <w:pPr>
              <w:pStyle w:val="Compact"/>
              <w:jc w:val="left"/>
            </w:pPr>
            <w:r>
              <w:t xml:space="preserve">PC²-FedReorg</w:t>
            </w:r>
          </w:p>
        </w:tc>
        <w:tc>
          <w:tcPr/>
          <w:p>
            <w:pPr>
              <w:pStyle w:val="Compact"/>
              <w:jc w:val="left"/>
            </w:pPr>
            <w:r>
              <w:t xml:space="preserve">0.142</w:t>
            </w:r>
          </w:p>
        </w:tc>
        <w:tc>
          <w:tcPr/>
          <w:p>
            <w:pPr>
              <w:pStyle w:val="Compact"/>
              <w:jc w:val="left"/>
            </w:pPr>
            <w:r>
              <w:t xml:space="preserve">0.078</w:t>
            </w:r>
          </w:p>
        </w:tc>
      </w:tr>
    </w:tbl>
    <w:p>
      <w:pPr>
        <w:pStyle w:val="BodyText"/>
      </w:pPr>
      <w:r>
        <w:t xml:space="preserve">Full per-seed values for A 5-fold and B 5-fold are in</w:t>
      </w:r>
      <w:r>
        <w:t xml:space="preserve"> </w:t>
      </w:r>
      <w:r>
        <w:rPr>
          <w:rStyle w:val="VerbatimChar"/>
        </w:rPr>
        <w:t xml:space="preserve">results/pc2_batch1_multiseed_summary.csv</w:t>
      </w:r>
      <w:r>
        <w:t xml:space="preserve">. PC²-FedReorg achieves the lowest A/B MAE among the evaluated methods, but the A/B improvements are not the headline claim of this manuscript: the in-house TADF tasks (C-hole, C-triplet) are the small-sample setting for which the method was designed.</w:t>
      </w:r>
    </w:p>
    <w:bookmarkEnd w:id="45"/>
    <w:bookmarkStart w:id="46" w:name="s5.3-c-hole-loocv"/>
    <w:p>
      <w:pPr>
        <w:pStyle w:val="Heading3"/>
      </w:pPr>
      <w:r>
        <w:t xml:space="preserve">S5.3 C-hole LOOCV</w:t>
      </w:r>
    </w:p>
    <w:p>
      <w:pPr>
        <w:pStyle w:val="FirstParagraph"/>
      </w:pPr>
      <w:r>
        <w:t xml:space="preserve">For C-hole (n = 53), per-method MAE (mean across seeds):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MAE (eV)</w:t>
            </w:r>
          </w:p>
        </w:tc>
        <w:tc>
          <w:tcPr/>
          <w:p>
            <w:pPr>
              <w:pStyle w:val="Compact"/>
              <w:jc w:val="left"/>
            </w:pPr>
            <w:r>
              <w:t xml:space="preserve">RMSE (eV)</w:t>
            </w:r>
          </w:p>
        </w:tc>
        <w:tc>
          <w:tcPr/>
          <w:p>
            <w:pPr>
              <w:pStyle w:val="Compact"/>
              <w:jc w:val="left"/>
            </w:pPr>
            <w:r>
              <w:t xml:space="preserve">R² (auxiliary)</w:t>
            </w:r>
          </w:p>
        </w:tc>
      </w:tr>
      <w:tr>
        <w:tc>
          <w:tcPr/>
          <w:p>
            <w:pPr>
              <w:pStyle w:val="Compact"/>
              <w:jc w:val="left"/>
            </w:pPr>
            <w:r>
              <w:t xml:space="preserve">E60 Local-only</w:t>
            </w:r>
          </w:p>
        </w:tc>
        <w:tc>
          <w:tcPr/>
          <w:p>
            <w:pPr>
              <w:pStyle w:val="Compact"/>
              <w:jc w:val="left"/>
            </w:pPr>
            <w:r>
              <w:t xml:space="preserve">0.414</w:t>
            </w:r>
          </w:p>
        </w:tc>
        <w:tc>
          <w:tcPr/>
          <w:p>
            <w:pPr>
              <w:pStyle w:val="Compact"/>
              <w:jc w:val="left"/>
            </w:pPr>
            <w:r>
              <w:t xml:space="preserve">—</w:t>
            </w:r>
          </w:p>
        </w:tc>
        <w:tc>
          <w:tcPr/>
          <w:p>
            <w:pPr>
              <w:pStyle w:val="Compact"/>
              <w:jc w:val="left"/>
            </w:pPr>
            <w:r>
              <w:t xml:space="preserve">negative</w:t>
            </w:r>
          </w:p>
        </w:tc>
      </w:tr>
      <w:tr>
        <w:tc>
          <w:tcPr/>
          <w:p>
            <w:pPr>
              <w:pStyle w:val="Compact"/>
              <w:jc w:val="left"/>
            </w:pPr>
            <w:r>
              <w:t xml:space="preserve">E61 FedAvg</w:t>
            </w:r>
          </w:p>
        </w:tc>
        <w:tc>
          <w:tcPr/>
          <w:p>
            <w:pPr>
              <w:pStyle w:val="Compact"/>
              <w:jc w:val="left"/>
            </w:pPr>
            <w:r>
              <w:t xml:space="preserve">0.385</w:t>
            </w:r>
          </w:p>
        </w:tc>
        <w:tc>
          <w:tcPr/>
          <w:p>
            <w:pPr>
              <w:pStyle w:val="Compact"/>
              <w:jc w:val="left"/>
            </w:pPr>
            <w:r>
              <w:t xml:space="preserve">—</w:t>
            </w:r>
          </w:p>
        </w:tc>
        <w:tc>
          <w:tcPr/>
          <w:p>
            <w:pPr>
              <w:pStyle w:val="Compact"/>
              <w:jc w:val="left"/>
            </w:pPr>
            <w:r>
              <w:t xml:space="preserve">negative</w:t>
            </w:r>
          </w:p>
        </w:tc>
      </w:tr>
      <w:tr>
        <w:tc>
          <w:tcPr/>
          <w:p>
            <w:pPr>
              <w:pStyle w:val="Compact"/>
              <w:jc w:val="left"/>
            </w:pPr>
            <w:r>
              <w:t xml:space="preserve">E62 FedProx</w:t>
            </w:r>
          </w:p>
        </w:tc>
        <w:tc>
          <w:tcPr/>
          <w:p>
            <w:pPr>
              <w:pStyle w:val="Compact"/>
              <w:jc w:val="left"/>
            </w:pPr>
            <w:r>
              <w:t xml:space="preserve">0.386</w:t>
            </w:r>
          </w:p>
        </w:tc>
        <w:tc>
          <w:tcPr/>
          <w:p>
            <w:pPr>
              <w:pStyle w:val="Compact"/>
              <w:jc w:val="left"/>
            </w:pPr>
            <w:r>
              <w:t xml:space="preserve">—</w:t>
            </w:r>
          </w:p>
        </w:tc>
        <w:tc>
          <w:tcPr/>
          <w:p>
            <w:pPr>
              <w:pStyle w:val="Compact"/>
              <w:jc w:val="left"/>
            </w:pPr>
            <w:r>
              <w:t xml:space="preserve">negative</w:t>
            </w:r>
          </w:p>
        </w:tc>
      </w:tr>
      <w:tr>
        <w:tc>
          <w:tcPr/>
          <w:p>
            <w:pPr>
              <w:pStyle w:val="Compact"/>
              <w:jc w:val="left"/>
            </w:pPr>
            <w:r>
              <w:t xml:space="preserve">E63 FedPer</w:t>
            </w:r>
          </w:p>
        </w:tc>
        <w:tc>
          <w:tcPr/>
          <w:p>
            <w:pPr>
              <w:pStyle w:val="Compact"/>
              <w:jc w:val="left"/>
            </w:pPr>
            <w:r>
              <w:t xml:space="preserve">0.368</w:t>
            </w:r>
          </w:p>
        </w:tc>
        <w:tc>
          <w:tcPr/>
          <w:p>
            <w:pPr>
              <w:pStyle w:val="Compact"/>
              <w:jc w:val="left"/>
            </w:pPr>
            <w:r>
              <w:t xml:space="preserve">—</w:t>
            </w:r>
          </w:p>
        </w:tc>
        <w:tc>
          <w:tcPr/>
          <w:p>
            <w:pPr>
              <w:pStyle w:val="Compact"/>
              <w:jc w:val="left"/>
            </w:pPr>
            <w:r>
              <w:t xml:space="preserve">negative</w:t>
            </w:r>
          </w:p>
        </w:tc>
      </w:tr>
      <w:tr>
        <w:tc>
          <w:tcPr/>
          <w:p>
            <w:pPr>
              <w:pStyle w:val="Compact"/>
              <w:jc w:val="left"/>
            </w:pPr>
            <w:r>
              <w:t xml:space="preserve">E66 PC²-FedReorg</w:t>
            </w:r>
          </w:p>
        </w:tc>
        <w:tc>
          <w:tcPr/>
          <w:p>
            <w:pPr>
              <w:pStyle w:val="Compact"/>
              <w:jc w:val="left"/>
            </w:pPr>
            <w:r>
              <w:t xml:space="preserve">0.382</w:t>
            </w:r>
          </w:p>
        </w:tc>
        <w:tc>
          <w:tcPr/>
          <w:p>
            <w:pPr>
              <w:pStyle w:val="Compact"/>
              <w:jc w:val="left"/>
            </w:pPr>
            <w:r>
              <w:t xml:space="preserve">—</w:t>
            </w:r>
          </w:p>
        </w:tc>
        <w:tc>
          <w:tcPr/>
          <w:p>
            <w:pPr>
              <w:pStyle w:val="Compact"/>
              <w:jc w:val="left"/>
            </w:pPr>
            <w:r>
              <w:t xml:space="preserve">negative</w:t>
            </w:r>
          </w:p>
        </w:tc>
      </w:tr>
    </w:tbl>
    <w:p>
      <w:pPr>
        <w:pStyle w:val="BodyText"/>
      </w:pPr>
      <w:r>
        <w:t xml:space="preserve">All methods produce MAE within the narrow band 0.368–0.414 eV. All paired tests return p ≥ 0.20 after rounding (Section S6). We report PC² as competitive but statistically indistinguishable from the baselines on C-hole.</w:t>
      </w:r>
    </w:p>
    <w:bookmarkEnd w:id="46"/>
    <w:bookmarkStart w:id="47" w:name="s5.4-c-triplet-loocv"/>
    <w:p>
      <w:pPr>
        <w:pStyle w:val="Heading3"/>
      </w:pPr>
      <w:r>
        <w:t xml:space="preserve">S5.4 C-triplet LOOCV</w:t>
      </w:r>
    </w:p>
    <w:p>
      <w:pPr>
        <w:pStyle w:val="FirstParagraph"/>
      </w:pPr>
      <w:r>
        <w:t xml:space="preserve">For C-triplet (n = 49):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MAE (eV)</w:t>
            </w:r>
          </w:p>
        </w:tc>
      </w:tr>
      <w:tr>
        <w:tc>
          <w:tcPr/>
          <w:p>
            <w:pPr>
              <w:pStyle w:val="Compact"/>
              <w:jc w:val="left"/>
            </w:pPr>
            <w:r>
              <w:t xml:space="preserve">E60 Local-only</w:t>
            </w:r>
          </w:p>
        </w:tc>
        <w:tc>
          <w:tcPr/>
          <w:p>
            <w:pPr>
              <w:pStyle w:val="Compact"/>
              <w:jc w:val="left"/>
            </w:pPr>
            <w:r>
              <w:t xml:space="preserve">0.747</w:t>
            </w:r>
          </w:p>
        </w:tc>
      </w:tr>
      <w:tr>
        <w:tc>
          <w:tcPr/>
          <w:p>
            <w:pPr>
              <w:pStyle w:val="Compact"/>
              <w:jc w:val="left"/>
            </w:pPr>
            <w:r>
              <w:t xml:space="preserve">E61 FedAvg</w:t>
            </w:r>
          </w:p>
        </w:tc>
        <w:tc>
          <w:tcPr/>
          <w:p>
            <w:pPr>
              <w:pStyle w:val="Compact"/>
              <w:jc w:val="left"/>
            </w:pPr>
            <w:r>
              <w:t xml:space="preserve">0.763</w:t>
            </w:r>
          </w:p>
        </w:tc>
      </w:tr>
      <w:tr>
        <w:tc>
          <w:tcPr/>
          <w:p>
            <w:pPr>
              <w:pStyle w:val="Compact"/>
              <w:jc w:val="left"/>
            </w:pPr>
            <w:r>
              <w:t xml:space="preserve">E62 FedProx</w:t>
            </w:r>
          </w:p>
        </w:tc>
        <w:tc>
          <w:tcPr/>
          <w:p>
            <w:pPr>
              <w:pStyle w:val="Compact"/>
              <w:jc w:val="left"/>
            </w:pPr>
            <w:r>
              <w:t xml:space="preserve">0.784</w:t>
            </w:r>
          </w:p>
        </w:tc>
      </w:tr>
      <w:tr>
        <w:tc>
          <w:tcPr/>
          <w:p>
            <w:pPr>
              <w:pStyle w:val="Compact"/>
              <w:jc w:val="left"/>
            </w:pPr>
            <w:r>
              <w:t xml:space="preserve">E63 FedPer</w:t>
            </w:r>
          </w:p>
        </w:tc>
        <w:tc>
          <w:tcPr/>
          <w:p>
            <w:pPr>
              <w:pStyle w:val="Compact"/>
              <w:jc w:val="left"/>
            </w:pPr>
            <w:r>
              <w:t xml:space="preserve">0.762</w:t>
            </w:r>
          </w:p>
        </w:tc>
      </w:tr>
      <w:tr>
        <w:tc>
          <w:tcPr/>
          <w:p>
            <w:pPr>
              <w:pStyle w:val="Compact"/>
              <w:jc w:val="left"/>
            </w:pPr>
            <w:r>
              <w:rPr>
                <w:bCs/>
                <w:b/>
              </w:rPr>
              <w:t xml:space="preserve">E66 PC²-FedReorg</w:t>
            </w:r>
          </w:p>
        </w:tc>
        <w:tc>
          <w:tcPr/>
          <w:p>
            <w:pPr>
              <w:pStyle w:val="Compact"/>
              <w:jc w:val="left"/>
            </w:pPr>
            <w:r>
              <w:rPr>
                <w:bCs/>
                <w:b/>
              </w:rPr>
              <w:t xml:space="preserve">0.660</w:t>
            </w:r>
          </w:p>
        </w:tc>
      </w:tr>
    </w:tbl>
    <w:p>
      <w:pPr>
        <w:pStyle w:val="BodyText"/>
      </w:pPr>
      <w:r>
        <w:t xml:space="preserve">PC²-FedReorg achieves the lowest MAE; paired Wilcoxon tests against FedAvg, FedProx and FedPer give p = 0.045, 0.045 and 0.042 respectively (Section S6).</w:t>
      </w:r>
    </w:p>
    <w:bookmarkEnd w:id="47"/>
    <w:bookmarkStart w:id="48" w:name="s5.5-auxiliary-r²-statement"/>
    <w:p>
      <w:pPr>
        <w:pStyle w:val="Heading3"/>
      </w:pPr>
      <w:r>
        <w:t xml:space="preserve">S5.5 Auxiliary R² statement</w:t>
      </w:r>
    </w:p>
    <w:p>
      <w:pPr>
        <w:pStyle w:val="FirstParagraph"/>
      </w:pPr>
      <w:r>
        <w:t xml:space="preserve">For all C LOOCV cells, the seed-averaged R² is negative or slightly positive (~0.0 ± 0.2). This is consistent with the V2 classical-baseline ceiling (Section S2.2) and is the reason we do not use R² as a primary metric. SI Figure S-R² (to be added) plots the per-seed R² distributions to make this point explicit.</w:t>
      </w:r>
    </w:p>
    <w:p>
      <w:r>
        <w:pict>
          <v:rect style="width:0;height:1.5pt" o:hralign="center" o:hrstd="t" o:hr="t"/>
        </w:pict>
      </w:r>
    </w:p>
    <w:bookmarkEnd w:id="48"/>
    <w:bookmarkEnd w:id="49"/>
    <w:bookmarkStart w:id="54" w:name="s6.-paired-statistical-testing"/>
    <w:p>
      <w:pPr>
        <w:pStyle w:val="Heading2"/>
      </w:pPr>
      <w:r>
        <w:t xml:space="preserve">S6. Paired statistical testing</w:t>
      </w:r>
    </w:p>
    <w:bookmarkStart w:id="50" w:name="s6.1-methodology"/>
    <w:p>
      <w:pPr>
        <w:pStyle w:val="Heading3"/>
      </w:pPr>
      <w:r>
        <w:t xml:space="preserve">S6.1 Methodology</w:t>
      </w:r>
    </w:p>
    <w:p>
      <w:pPr>
        <w:pStyle w:val="FirstParagraph"/>
      </w:pPr>
      <w:r>
        <w:t xml:space="preserve">For each method pair (PC² vs. comparator) and each LOOCV target, we report:</w:t>
      </w:r>
    </w:p>
    <w:p>
      <w:pPr>
        <w:numPr>
          <w:ilvl w:val="0"/>
          <w:numId w:val="1009"/>
        </w:numPr>
        <w:pStyle w:val="Compact"/>
      </w:pPr>
      <w:r>
        <w:t xml:space="preserve">per-molecule absolute errors aggregated as the</w:t>
      </w:r>
      <w:r>
        <w:t xml:space="preserve"> </w:t>
      </w:r>
      <w:r>
        <w:rPr>
          <w:bCs/>
          <w:b/>
        </w:rPr>
        <w:t xml:space="preserve">median across the five seeds</w:t>
      </w:r>
      <w:r>
        <w:t xml:space="preserve"> </w:t>
      </w:r>
      <w:r>
        <w:t xml:space="preserve">(yielding a 53- or 49-element error vector that is deterministic for a fixed code path);</w:t>
      </w:r>
    </w:p>
    <w:p>
      <w:pPr>
        <w:numPr>
          <w:ilvl w:val="0"/>
          <w:numId w:val="1009"/>
        </w:numPr>
        <w:pStyle w:val="Compact"/>
      </w:pPr>
      <w:r>
        <w:t xml:space="preserve">paired</w:t>
      </w:r>
      <w:r>
        <w:t xml:space="preserve"> </w:t>
      </w:r>
      <w:r>
        <w:rPr>
          <w:bCs/>
          <w:b/>
        </w:rPr>
        <w:t xml:space="preserve">Wilcoxon signed-rank test</w:t>
      </w:r>
      <w:r>
        <w:t xml:space="preserve"> </w:t>
      </w:r>
      <w:r>
        <w:t xml:space="preserve">(two-sided, SciPy</w:t>
      </w:r>
      <w:r>
        <w:t xml:space="preserve"> </w:t>
      </w:r>
      <w:r>
        <w:rPr>
          <w:rStyle w:val="VerbatimChar"/>
        </w:rPr>
        <w:t xml:space="preserve">zero_method='wilcox'</w:t>
      </w:r>
      <w:r>
        <w:t xml:space="preserve">);</w:t>
      </w:r>
    </w:p>
    <w:p>
      <w:pPr>
        <w:numPr>
          <w:ilvl w:val="0"/>
          <w:numId w:val="1009"/>
        </w:numPr>
        <w:pStyle w:val="Compact"/>
      </w:pPr>
      <w:r>
        <w:rPr>
          <w:bCs/>
          <w:b/>
        </w:rPr>
        <w:t xml:space="preserve">bootstrap 95 % CI</w:t>
      </w:r>
      <w:r>
        <w:t xml:space="preserve"> </w:t>
      </w:r>
      <w:r>
        <w:t xml:space="preserve">on the paired MAE difference (5,000 resamples of molecule indices);</w:t>
      </w:r>
    </w:p>
    <w:p>
      <w:pPr>
        <w:numPr>
          <w:ilvl w:val="0"/>
          <w:numId w:val="1009"/>
        </w:numPr>
        <w:pStyle w:val="Compact"/>
      </w:pPr>
      <w:r>
        <w:rPr>
          <w:bCs/>
          <w:b/>
        </w:rPr>
        <w:t xml:space="preserve">win / loss / tie counts</w:t>
      </w:r>
      <w:r>
        <w:t xml:space="preserve"> </w:t>
      </w:r>
      <w:r>
        <w:t xml:space="preserve">per molecule.</w:t>
      </w:r>
    </w:p>
    <w:p>
      <w:pPr>
        <w:pStyle w:val="FirstParagraph"/>
      </w:pPr>
      <w:r>
        <w:t xml:space="preserve">The full paired-test table is persisted as</w:t>
      </w:r>
      <w:r>
        <w:t xml:space="preserve"> </w:t>
      </w:r>
      <w:r>
        <w:rPr>
          <w:rStyle w:val="VerbatimChar"/>
        </w:rPr>
        <w:t xml:space="preserve">results/pc2_phase5_stats.csv</w:t>
      </w:r>
      <w:r>
        <w:t xml:space="preserve"> </w:t>
      </w:r>
      <w:r>
        <w:t xml:space="preserve">and rendered in</w:t>
      </w:r>
      <w:r>
        <w:t xml:space="preserve"> </w:t>
      </w:r>
      <w:r>
        <w:rPr>
          <w:rStyle w:val="VerbatimChar"/>
        </w:rPr>
        <w:t xml:space="preserve">paper/tables/table3_paired_tests.csv</w:t>
      </w:r>
      <w:r>
        <w:t xml:space="preserve">.</w:t>
      </w:r>
    </w:p>
    <w:bookmarkEnd w:id="50"/>
    <w:bookmarkStart w:id="51" w:name="X66bbc157e3e03c33ef4906d7aa3a69712198b72"/>
    <w:p>
      <w:pPr>
        <w:pStyle w:val="Heading3"/>
      </w:pPr>
      <w:r>
        <w:t xml:space="preserve">S6.2 C-hole — eight paired comparisons, all non-significant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Comparator</w:t>
            </w:r>
          </w:p>
        </w:tc>
        <w:tc>
          <w:tcPr/>
          <w:p>
            <w:pPr>
              <w:pStyle w:val="Compact"/>
              <w:jc w:val="left"/>
            </w:pPr>
            <w:r>
              <w:t xml:space="preserve">MAE_comp (eV)</w:t>
            </w:r>
          </w:p>
        </w:tc>
        <w:tc>
          <w:tcPr/>
          <w:p>
            <w:pPr>
              <w:pStyle w:val="Compact"/>
              <w:jc w:val="left"/>
            </w:pPr>
            <w:r>
              <w:t xml:space="preserve">ΔMAE</w:t>
            </w:r>
          </w:p>
        </w:tc>
        <w:tc>
          <w:tcPr/>
          <w:p>
            <w:pPr>
              <w:pStyle w:val="Compact"/>
              <w:jc w:val="left"/>
            </w:pPr>
            <w:r>
              <w:t xml:space="preserve">95 % CI</w:t>
            </w:r>
          </w:p>
        </w:tc>
        <w:tc>
          <w:tcPr/>
          <w:p>
            <w:pPr>
              <w:pStyle w:val="Compact"/>
              <w:jc w:val="left"/>
            </w:pPr>
            <w:r>
              <w:t xml:space="preserve">wins / loses</w:t>
            </w:r>
          </w:p>
        </w:tc>
        <w:tc>
          <w:tcPr/>
          <w:p>
            <w:pPr>
              <w:pStyle w:val="Compact"/>
              <w:jc w:val="left"/>
            </w:pPr>
            <w:r>
              <w:t xml:space="preserve">Wilcoxon p</w:t>
            </w:r>
          </w:p>
        </w:tc>
      </w:tr>
      <w:tr>
        <w:tc>
          <w:tcPr/>
          <w:p>
            <w:pPr>
              <w:pStyle w:val="Compact"/>
              <w:jc w:val="left"/>
            </w:pPr>
            <w:r>
              <w:t xml:space="preserve">E60 Local</w:t>
            </w:r>
          </w:p>
        </w:tc>
        <w:tc>
          <w:tcPr/>
          <w:p>
            <w:pPr>
              <w:pStyle w:val="Compact"/>
              <w:jc w:val="left"/>
            </w:pPr>
            <w:r>
              <w:t xml:space="preserve">0.414</w:t>
            </w:r>
          </w:p>
        </w:tc>
        <w:tc>
          <w:tcPr/>
          <w:p>
            <w:pPr>
              <w:pStyle w:val="Compact"/>
              <w:jc w:val="left"/>
            </w:pPr>
            <w:r>
              <w:t xml:space="preserve">−0.032</w:t>
            </w:r>
          </w:p>
        </w:tc>
        <w:tc>
          <w:tcPr/>
          <w:p>
            <w:pPr>
              <w:pStyle w:val="Compact"/>
              <w:jc w:val="left"/>
            </w:pPr>
            <w:r>
              <w:t xml:space="preserve">(−0.115, +0.050)</w:t>
            </w:r>
          </w:p>
        </w:tc>
        <w:tc>
          <w:tcPr/>
          <w:p>
            <w:pPr>
              <w:pStyle w:val="Compact"/>
              <w:jc w:val="left"/>
            </w:pPr>
            <w:r>
              <w:t xml:space="preserve">25 / 28</w:t>
            </w:r>
          </w:p>
        </w:tc>
        <w:tc>
          <w:tcPr/>
          <w:p>
            <w:pPr>
              <w:pStyle w:val="Compact"/>
              <w:jc w:val="left"/>
            </w:pPr>
            <w:r>
              <w:t xml:space="preserve">0.580</w:t>
            </w:r>
          </w:p>
        </w:tc>
      </w:tr>
      <w:tr>
        <w:tc>
          <w:tcPr/>
          <w:p>
            <w:pPr>
              <w:pStyle w:val="Compact"/>
              <w:jc w:val="left"/>
            </w:pPr>
            <w:r>
              <w:t xml:space="preserve">E61 FedAvg</w:t>
            </w:r>
          </w:p>
        </w:tc>
        <w:tc>
          <w:tcPr/>
          <w:p>
            <w:pPr>
              <w:pStyle w:val="Compact"/>
              <w:jc w:val="left"/>
            </w:pPr>
            <w:r>
              <w:t xml:space="preserve">0.385</w:t>
            </w:r>
          </w:p>
        </w:tc>
        <w:tc>
          <w:tcPr/>
          <w:p>
            <w:pPr>
              <w:pStyle w:val="Compact"/>
              <w:jc w:val="left"/>
            </w:pPr>
            <w:r>
              <w:t xml:space="preserve">−0.003</w:t>
            </w:r>
          </w:p>
        </w:tc>
        <w:tc>
          <w:tcPr/>
          <w:p>
            <w:pPr>
              <w:pStyle w:val="Compact"/>
              <w:jc w:val="left"/>
            </w:pPr>
            <w:r>
              <w:t xml:space="preserve">(−0.042, +0.039)</w:t>
            </w:r>
          </w:p>
        </w:tc>
        <w:tc>
          <w:tcPr/>
          <w:p>
            <w:pPr>
              <w:pStyle w:val="Compact"/>
              <w:jc w:val="left"/>
            </w:pPr>
            <w:r>
              <w:t xml:space="preserve">27 / 26</w:t>
            </w:r>
          </w:p>
        </w:tc>
        <w:tc>
          <w:tcPr/>
          <w:p>
            <w:pPr>
              <w:pStyle w:val="Compact"/>
              <w:jc w:val="left"/>
            </w:pPr>
            <w:r>
              <w:t xml:space="preserve">0.898</w:t>
            </w:r>
          </w:p>
        </w:tc>
      </w:tr>
      <w:tr>
        <w:tc>
          <w:tcPr/>
          <w:p>
            <w:pPr>
              <w:pStyle w:val="Compact"/>
              <w:jc w:val="left"/>
            </w:pPr>
            <w:r>
              <w:t xml:space="preserve">E62 FedProx</w:t>
            </w:r>
          </w:p>
        </w:tc>
        <w:tc>
          <w:tcPr/>
          <w:p>
            <w:pPr>
              <w:pStyle w:val="Compact"/>
              <w:jc w:val="left"/>
            </w:pPr>
            <w:r>
              <w:t xml:space="preserve">0.386</w:t>
            </w:r>
          </w:p>
        </w:tc>
        <w:tc>
          <w:tcPr/>
          <w:p>
            <w:pPr>
              <w:pStyle w:val="Compact"/>
              <w:jc w:val="left"/>
            </w:pPr>
            <w:r>
              <w:t xml:space="preserve">−0.004</w:t>
            </w:r>
          </w:p>
        </w:tc>
        <w:tc>
          <w:tcPr/>
          <w:p>
            <w:pPr>
              <w:pStyle w:val="Compact"/>
              <w:jc w:val="left"/>
            </w:pPr>
            <w:r>
              <w:t xml:space="preserve">(−0.055, +0.044)</w:t>
            </w:r>
          </w:p>
        </w:tc>
        <w:tc>
          <w:tcPr/>
          <w:p>
            <w:pPr>
              <w:pStyle w:val="Compact"/>
              <w:jc w:val="left"/>
            </w:pPr>
            <w:r>
              <w:t xml:space="preserve">28 / 25</w:t>
            </w:r>
          </w:p>
        </w:tc>
        <w:tc>
          <w:tcPr/>
          <w:p>
            <w:pPr>
              <w:pStyle w:val="Compact"/>
              <w:jc w:val="left"/>
            </w:pPr>
            <w:r>
              <w:t xml:space="preserve">0.821</w:t>
            </w:r>
          </w:p>
        </w:tc>
      </w:tr>
      <w:tr>
        <w:tc>
          <w:tcPr/>
          <w:p>
            <w:pPr>
              <w:pStyle w:val="Compact"/>
              <w:jc w:val="left"/>
            </w:pPr>
            <w:r>
              <w:t xml:space="preserve">E63 FedPer</w:t>
            </w:r>
          </w:p>
        </w:tc>
        <w:tc>
          <w:tcPr/>
          <w:p>
            <w:pPr>
              <w:pStyle w:val="Compact"/>
              <w:jc w:val="left"/>
            </w:pPr>
            <w:r>
              <w:t xml:space="preserve">0.368</w:t>
            </w:r>
          </w:p>
        </w:tc>
        <w:tc>
          <w:tcPr/>
          <w:p>
            <w:pPr>
              <w:pStyle w:val="Compact"/>
              <w:jc w:val="left"/>
            </w:pPr>
            <w:r>
              <w:t xml:space="preserve">+0.014</w:t>
            </w:r>
          </w:p>
        </w:tc>
        <w:tc>
          <w:tcPr/>
          <w:p>
            <w:pPr>
              <w:pStyle w:val="Compact"/>
              <w:jc w:val="left"/>
            </w:pPr>
            <w:r>
              <w:t xml:space="preserve">(−0.021, +0.049)</w:t>
            </w:r>
          </w:p>
        </w:tc>
        <w:tc>
          <w:tcPr/>
          <w:p>
            <w:pPr>
              <w:pStyle w:val="Compact"/>
              <w:jc w:val="left"/>
            </w:pPr>
            <w:r>
              <w:t xml:space="preserve">23 / 30</w:t>
            </w:r>
          </w:p>
        </w:tc>
        <w:tc>
          <w:tcPr/>
          <w:p>
            <w:pPr>
              <w:pStyle w:val="Compact"/>
              <w:jc w:val="left"/>
            </w:pPr>
            <w:r>
              <w:t xml:space="preserve">0.198</w:t>
            </w:r>
          </w:p>
        </w:tc>
      </w:tr>
      <w:tr>
        <w:tc>
          <w:tcPr/>
          <w:p>
            <w:pPr>
              <w:pStyle w:val="Compact"/>
              <w:jc w:val="left"/>
            </w:pPr>
            <w:r>
              <w:t xml:space="preserve">E65 D→C pretrain</w:t>
            </w:r>
          </w:p>
        </w:tc>
        <w:tc>
          <w:tcPr/>
          <w:p>
            <w:pPr>
              <w:pStyle w:val="Compact"/>
              <w:jc w:val="left"/>
            </w:pPr>
            <w:r>
              <w:t xml:space="preserve">0.403</w:t>
            </w:r>
          </w:p>
        </w:tc>
        <w:tc>
          <w:tcPr/>
          <w:p>
            <w:pPr>
              <w:pStyle w:val="Compact"/>
              <w:jc w:val="left"/>
            </w:pPr>
            <w:r>
              <w:t xml:space="preserve">−0.021</w:t>
            </w:r>
          </w:p>
        </w:tc>
        <w:tc>
          <w:tcPr/>
          <w:p>
            <w:pPr>
              <w:pStyle w:val="Compact"/>
              <w:jc w:val="left"/>
            </w:pPr>
            <w:r>
              <w:t xml:space="preserve">(−0.099, +0.055)</w:t>
            </w:r>
          </w:p>
        </w:tc>
        <w:tc>
          <w:tcPr/>
          <w:p>
            <w:pPr>
              <w:pStyle w:val="Compact"/>
              <w:jc w:val="left"/>
            </w:pPr>
            <w:r>
              <w:t xml:space="preserve">28 / 25</w:t>
            </w:r>
          </w:p>
        </w:tc>
        <w:tc>
          <w:tcPr/>
          <w:p>
            <w:pPr>
              <w:pStyle w:val="Compact"/>
              <w:jc w:val="left"/>
            </w:pPr>
            <w:r>
              <w:t xml:space="preserve">0.760</w:t>
            </w:r>
          </w:p>
        </w:tc>
      </w:tr>
      <w:tr>
        <w:tc>
          <w:tcPr/>
          <w:p>
            <w:pPr>
              <w:pStyle w:val="Compact"/>
              <w:jc w:val="left"/>
            </w:pPr>
            <w:r>
              <w:t xml:space="preserve">E68 no C-cross repr</w:t>
            </w:r>
          </w:p>
        </w:tc>
        <w:tc>
          <w:tcPr/>
          <w:p>
            <w:pPr>
              <w:pStyle w:val="Compact"/>
              <w:jc w:val="left"/>
            </w:pPr>
            <w:r>
              <w:t xml:space="preserve">0.382</w:t>
            </w:r>
          </w:p>
        </w:tc>
        <w:tc>
          <w:tcPr/>
          <w:p>
            <w:pPr>
              <w:pStyle w:val="Compact"/>
              <w:jc w:val="left"/>
            </w:pPr>
            <w:r>
              <w:t xml:space="preserve">−0.0001</w:t>
            </w:r>
          </w:p>
        </w:tc>
        <w:tc>
          <w:tcPr/>
          <w:p>
            <w:pPr>
              <w:pStyle w:val="Compact"/>
              <w:jc w:val="left"/>
            </w:pPr>
            <w:r>
              <w:t xml:space="preserve">(−0.017, +0.017)</w:t>
            </w:r>
          </w:p>
        </w:tc>
        <w:tc>
          <w:tcPr/>
          <w:p>
            <w:pPr>
              <w:pStyle w:val="Compact"/>
              <w:jc w:val="left"/>
            </w:pPr>
            <w:r>
              <w:t xml:space="preserve">30 / 23</w:t>
            </w:r>
          </w:p>
        </w:tc>
        <w:tc>
          <w:tcPr/>
          <w:p>
            <w:pPr>
              <w:pStyle w:val="Compact"/>
              <w:jc w:val="left"/>
            </w:pPr>
            <w:r>
              <w:t xml:space="preserve">0.562</w:t>
            </w:r>
          </w:p>
        </w:tc>
      </w:tr>
      <w:tr>
        <w:tc>
          <w:tcPr/>
          <w:p>
            <w:pPr>
              <w:pStyle w:val="Compact"/>
              <w:jc w:val="left"/>
            </w:pPr>
            <w:r>
              <w:t xml:space="preserve">E69 uniform gate</w:t>
            </w:r>
          </w:p>
        </w:tc>
        <w:tc>
          <w:tcPr/>
          <w:p>
            <w:pPr>
              <w:pStyle w:val="Compact"/>
              <w:jc w:val="left"/>
            </w:pPr>
            <w:r>
              <w:t xml:space="preserve">0.370</w:t>
            </w:r>
          </w:p>
        </w:tc>
        <w:tc>
          <w:tcPr/>
          <w:p>
            <w:pPr>
              <w:pStyle w:val="Compact"/>
              <w:jc w:val="left"/>
            </w:pPr>
            <w:r>
              <w:t xml:space="preserve">+0.012</w:t>
            </w:r>
          </w:p>
        </w:tc>
        <w:tc>
          <w:tcPr/>
          <w:p>
            <w:pPr>
              <w:pStyle w:val="Compact"/>
              <w:jc w:val="left"/>
            </w:pPr>
            <w:r>
              <w:t xml:space="preserve">(−0.020, +0.043)</w:t>
            </w:r>
          </w:p>
        </w:tc>
        <w:tc>
          <w:tcPr/>
          <w:p>
            <w:pPr>
              <w:pStyle w:val="Compact"/>
              <w:jc w:val="left"/>
            </w:pPr>
            <w:r>
              <w:t xml:space="preserve">26 / 27</w:t>
            </w:r>
          </w:p>
        </w:tc>
        <w:tc>
          <w:tcPr/>
          <w:p>
            <w:pPr>
              <w:pStyle w:val="Compact"/>
              <w:jc w:val="left"/>
            </w:pPr>
            <w:r>
              <w:t xml:space="preserve">0.428</w:t>
            </w:r>
          </w:p>
        </w:tc>
      </w:tr>
      <w:tr>
        <w:tc>
          <w:tcPr/>
          <w:p>
            <w:pPr>
              <w:pStyle w:val="Compact"/>
              <w:jc w:val="left"/>
            </w:pPr>
            <w:r>
              <w:t xml:space="preserve">E70 no calibration</w:t>
            </w:r>
          </w:p>
        </w:tc>
        <w:tc>
          <w:tcPr/>
          <w:p>
            <w:pPr>
              <w:pStyle w:val="Compact"/>
              <w:jc w:val="left"/>
            </w:pPr>
            <w:r>
              <w:t xml:space="preserve">0.377</w:t>
            </w:r>
          </w:p>
        </w:tc>
        <w:tc>
          <w:tcPr/>
          <w:p>
            <w:pPr>
              <w:pStyle w:val="Compact"/>
              <w:jc w:val="left"/>
            </w:pPr>
            <w:r>
              <w:t xml:space="preserve">+0.005</w:t>
            </w:r>
          </w:p>
        </w:tc>
        <w:tc>
          <w:tcPr/>
          <w:p>
            <w:pPr>
              <w:pStyle w:val="Compact"/>
              <w:jc w:val="left"/>
            </w:pPr>
            <w:r>
              <w:t xml:space="preserve">(−0.033, +0.042)</w:t>
            </w:r>
          </w:p>
        </w:tc>
        <w:tc>
          <w:tcPr/>
          <w:p>
            <w:pPr>
              <w:pStyle w:val="Compact"/>
              <w:jc w:val="left"/>
            </w:pPr>
            <w:r>
              <w:t xml:space="preserve">23 / 30</w:t>
            </w:r>
          </w:p>
        </w:tc>
        <w:tc>
          <w:tcPr/>
          <w:p>
            <w:pPr>
              <w:pStyle w:val="Compact"/>
              <w:jc w:val="left"/>
            </w:pPr>
            <w:r>
              <w:t xml:space="preserve">0.580</w:t>
            </w:r>
          </w:p>
        </w:tc>
      </w:tr>
    </w:tbl>
    <w:p>
      <w:pPr>
        <w:pStyle w:val="BodyText"/>
      </w:pPr>
      <w:r>
        <w:t xml:space="preserve">No comparison reaches the 0.05 threshold. All bootstrap CIs straddle zero. We report PC² on C-hole as statistically indistinguishable from the baselines and ablations.</w:t>
      </w:r>
    </w:p>
    <w:bookmarkEnd w:id="51"/>
    <w:bookmarkStart w:id="52" w:name="X25e2311dd1f6e0348baf5bc500b3b48ccd2c673"/>
    <w:p>
      <w:pPr>
        <w:pStyle w:val="Heading3"/>
      </w:pPr>
      <w:r>
        <w:t xml:space="preserve">S6.3 C-triplet — four significant baselines, four non-significant ablations/controls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Comparator</w:t>
            </w:r>
          </w:p>
        </w:tc>
        <w:tc>
          <w:tcPr/>
          <w:p>
            <w:pPr>
              <w:pStyle w:val="Compact"/>
              <w:jc w:val="left"/>
            </w:pPr>
            <w:r>
              <w:t xml:space="preserve">MAE_comp (eV)</w:t>
            </w:r>
          </w:p>
        </w:tc>
        <w:tc>
          <w:tcPr/>
          <w:p>
            <w:pPr>
              <w:pStyle w:val="Compact"/>
              <w:jc w:val="left"/>
            </w:pPr>
            <w:r>
              <w:t xml:space="preserve">ΔMAE</w:t>
            </w:r>
          </w:p>
        </w:tc>
        <w:tc>
          <w:tcPr/>
          <w:p>
            <w:pPr>
              <w:pStyle w:val="Compact"/>
              <w:jc w:val="left"/>
            </w:pPr>
            <w:r>
              <w:t xml:space="preserve">95 % CI</w:t>
            </w:r>
          </w:p>
        </w:tc>
        <w:tc>
          <w:tcPr/>
          <w:p>
            <w:pPr>
              <w:pStyle w:val="Compact"/>
              <w:jc w:val="left"/>
            </w:pPr>
            <w:r>
              <w:t xml:space="preserve">wins / loses</w:t>
            </w:r>
          </w:p>
        </w:tc>
        <w:tc>
          <w:tcPr/>
          <w:p>
            <w:pPr>
              <w:pStyle w:val="Compact"/>
              <w:jc w:val="left"/>
            </w:pPr>
            <w:r>
              <w:t xml:space="preserve">Wilcoxon p</w:t>
            </w:r>
          </w:p>
        </w:tc>
        <w:tc>
          <w:tcPr/>
          <w:p>
            <w:pPr>
              <w:pStyle w:val="Compact"/>
              <w:jc w:val="left"/>
            </w:pPr>
            <w:r>
              <w:t xml:space="preserve">Sig</w:t>
            </w:r>
          </w:p>
        </w:tc>
      </w:tr>
      <w:tr>
        <w:tc>
          <w:tcPr/>
          <w:p>
            <w:pPr>
              <w:pStyle w:val="Compact"/>
              <w:jc w:val="left"/>
            </w:pPr>
            <w:r>
              <w:t xml:space="preserve">E60 Local</w:t>
            </w:r>
          </w:p>
        </w:tc>
        <w:tc>
          <w:tcPr/>
          <w:p>
            <w:pPr>
              <w:pStyle w:val="Compact"/>
              <w:jc w:val="left"/>
            </w:pPr>
            <w:r>
              <w:t xml:space="preserve">0.747</w:t>
            </w:r>
          </w:p>
        </w:tc>
        <w:tc>
          <w:tcPr/>
          <w:p>
            <w:pPr>
              <w:pStyle w:val="Compact"/>
              <w:jc w:val="left"/>
            </w:pPr>
            <w:r>
              <w:t xml:space="preserve">−0.088</w:t>
            </w:r>
          </w:p>
        </w:tc>
        <w:tc>
          <w:tcPr/>
          <w:p>
            <w:pPr>
              <w:pStyle w:val="Compact"/>
              <w:jc w:val="left"/>
            </w:pPr>
            <w:r>
              <w:t xml:space="preserve">(−0.230, +0.053)</w:t>
            </w:r>
          </w:p>
        </w:tc>
        <w:tc>
          <w:tcPr/>
          <w:p>
            <w:pPr>
              <w:pStyle w:val="Compact"/>
              <w:jc w:val="left"/>
            </w:pPr>
            <w:r>
              <w:t xml:space="preserve">28 / 21</w:t>
            </w:r>
          </w:p>
        </w:tc>
        <w:tc>
          <w:tcPr/>
          <w:p>
            <w:pPr>
              <w:pStyle w:val="Compact"/>
              <w:jc w:val="left"/>
            </w:pPr>
            <w:r>
              <w:t xml:space="preserve">0.174</w:t>
            </w:r>
          </w:p>
        </w:tc>
        <w:tc>
          <w:tcPr/>
          <w:p>
            <w:pPr>
              <w:pStyle w:val="Compact"/>
              <w:jc w:val="left"/>
            </w:pPr>
            <w:r>
              <w:t xml:space="preserve">n.s.</w:t>
            </w:r>
          </w:p>
        </w:tc>
      </w:tr>
      <w:tr>
        <w:tc>
          <w:tcPr/>
          <w:p>
            <w:pPr>
              <w:pStyle w:val="Compact"/>
              <w:jc w:val="left"/>
            </w:pPr>
            <w:r>
              <w:rPr>
                <w:bCs/>
                <w:b/>
              </w:rPr>
              <w:t xml:space="preserve">E61 FedAvg</w:t>
            </w:r>
          </w:p>
        </w:tc>
        <w:tc>
          <w:tcPr/>
          <w:p>
            <w:pPr>
              <w:pStyle w:val="Compact"/>
              <w:jc w:val="left"/>
            </w:pPr>
            <w:r>
              <w:t xml:space="preserve">0.763</w:t>
            </w:r>
          </w:p>
        </w:tc>
        <w:tc>
          <w:tcPr/>
          <w:p>
            <w:pPr>
              <w:pStyle w:val="Compact"/>
              <w:jc w:val="left"/>
            </w:pPr>
            <w:r>
              <w:rPr>
                <w:bCs/>
                <w:b/>
              </w:rPr>
              <w:t xml:space="preserve">−0.104</w:t>
            </w:r>
          </w:p>
        </w:tc>
        <w:tc>
          <w:tcPr/>
          <w:p>
            <w:pPr>
              <w:pStyle w:val="Compact"/>
              <w:jc w:val="left"/>
            </w:pPr>
            <w:r>
              <w:t xml:space="preserve">(−0.220, +0.004)</w:t>
            </w:r>
          </w:p>
        </w:tc>
        <w:tc>
          <w:tcPr/>
          <w:p>
            <w:pPr>
              <w:pStyle w:val="Compact"/>
              <w:jc w:val="left"/>
            </w:pPr>
            <w:r>
              <w:t xml:space="preserve">31 / 18</w:t>
            </w:r>
          </w:p>
        </w:tc>
        <w:tc>
          <w:tcPr/>
          <w:p>
            <w:pPr>
              <w:pStyle w:val="Compact"/>
              <w:jc w:val="left"/>
            </w:pPr>
            <w:r>
              <w:rPr>
                <w:bCs/>
                <w:b/>
              </w:rPr>
              <w:t xml:space="preserve">0.045</w:t>
            </w:r>
          </w:p>
        </w:tc>
        <w:tc>
          <w:tcPr/>
          <w:p>
            <w:pPr>
              <w:pStyle w:val="Compact"/>
              <w:jc w:val="left"/>
            </w:pPr>
            <w:r>
              <w:t xml:space="preserve">*</w:t>
            </w:r>
          </w:p>
        </w:tc>
      </w:tr>
      <w:tr>
        <w:tc>
          <w:tcPr/>
          <w:p>
            <w:pPr>
              <w:pStyle w:val="Compact"/>
              <w:jc w:val="left"/>
            </w:pPr>
            <w:r>
              <w:rPr>
                <w:bCs/>
                <w:b/>
              </w:rPr>
              <w:t xml:space="preserve">E62 FedProx</w:t>
            </w:r>
          </w:p>
        </w:tc>
        <w:tc>
          <w:tcPr/>
          <w:p>
            <w:pPr>
              <w:pStyle w:val="Compact"/>
              <w:jc w:val="left"/>
            </w:pPr>
            <w:r>
              <w:t xml:space="preserve">0.784</w:t>
            </w:r>
          </w:p>
        </w:tc>
        <w:tc>
          <w:tcPr/>
          <w:p>
            <w:pPr>
              <w:pStyle w:val="Compact"/>
              <w:jc w:val="left"/>
            </w:pPr>
            <w:r>
              <w:rPr>
                <w:bCs/>
                <w:b/>
              </w:rPr>
              <w:t xml:space="preserve">−0.124</w:t>
            </w:r>
          </w:p>
        </w:tc>
        <w:tc>
          <w:tcPr/>
          <w:p>
            <w:pPr>
              <w:pStyle w:val="Compact"/>
              <w:jc w:val="left"/>
            </w:pPr>
            <w:r>
              <w:t xml:space="preserve">(−0.254, −0.007)</w:t>
            </w:r>
          </w:p>
        </w:tc>
        <w:tc>
          <w:tcPr/>
          <w:p>
            <w:pPr>
              <w:pStyle w:val="Compact"/>
              <w:jc w:val="left"/>
            </w:pPr>
            <w:r>
              <w:t xml:space="preserve">30 / 19</w:t>
            </w:r>
          </w:p>
        </w:tc>
        <w:tc>
          <w:tcPr/>
          <w:p>
            <w:pPr>
              <w:pStyle w:val="Compact"/>
              <w:jc w:val="left"/>
            </w:pPr>
            <w:r>
              <w:rPr>
                <w:bCs/>
                <w:b/>
              </w:rPr>
              <w:t xml:space="preserve">0.045</w:t>
            </w:r>
          </w:p>
        </w:tc>
        <w:tc>
          <w:tcPr/>
          <w:p>
            <w:pPr>
              <w:pStyle w:val="Compact"/>
              <w:jc w:val="left"/>
            </w:pPr>
            <w:r>
              <w:t xml:space="preserve">*</w:t>
            </w:r>
          </w:p>
        </w:tc>
      </w:tr>
      <w:tr>
        <w:tc>
          <w:tcPr/>
          <w:p>
            <w:pPr>
              <w:pStyle w:val="Compact"/>
              <w:jc w:val="left"/>
            </w:pPr>
            <w:r>
              <w:rPr>
                <w:bCs/>
                <w:b/>
              </w:rPr>
              <w:t xml:space="preserve">E63 FedPer</w:t>
            </w:r>
          </w:p>
        </w:tc>
        <w:tc>
          <w:tcPr/>
          <w:p>
            <w:pPr>
              <w:pStyle w:val="Compact"/>
              <w:jc w:val="left"/>
            </w:pPr>
            <w:r>
              <w:t xml:space="preserve">0.762</w:t>
            </w:r>
          </w:p>
        </w:tc>
        <w:tc>
          <w:tcPr/>
          <w:p>
            <w:pPr>
              <w:pStyle w:val="Compact"/>
              <w:jc w:val="left"/>
            </w:pPr>
            <w:r>
              <w:rPr>
                <w:bCs/>
                <w:b/>
              </w:rPr>
              <w:t xml:space="preserve">−0.103</w:t>
            </w:r>
          </w:p>
        </w:tc>
        <w:tc>
          <w:tcPr/>
          <w:p>
            <w:pPr>
              <w:pStyle w:val="Compact"/>
              <w:jc w:val="left"/>
            </w:pPr>
            <w:r>
              <w:t xml:space="preserve">(−0.205, −0.002)</w:t>
            </w:r>
          </w:p>
        </w:tc>
        <w:tc>
          <w:tcPr/>
          <w:p>
            <w:pPr>
              <w:pStyle w:val="Compact"/>
              <w:jc w:val="left"/>
            </w:pPr>
            <w:r>
              <w:t xml:space="preserve">32 / 17</w:t>
            </w:r>
          </w:p>
        </w:tc>
        <w:tc>
          <w:tcPr/>
          <w:p>
            <w:pPr>
              <w:pStyle w:val="Compact"/>
              <w:jc w:val="left"/>
            </w:pPr>
            <w:r>
              <w:rPr>
                <w:bCs/>
                <w:b/>
              </w:rPr>
              <w:t xml:space="preserve">0.042</w:t>
            </w:r>
          </w:p>
        </w:tc>
        <w:tc>
          <w:tcPr/>
          <w:p>
            <w:pPr>
              <w:pStyle w:val="Compact"/>
              <w:jc w:val="left"/>
            </w:pPr>
            <w:r>
              <w:t xml:space="preserve">*</w:t>
            </w:r>
          </w:p>
        </w:tc>
      </w:tr>
      <w:tr>
        <w:tc>
          <w:tcPr/>
          <w:p>
            <w:pPr>
              <w:pStyle w:val="Compact"/>
              <w:jc w:val="left"/>
            </w:pPr>
            <w:r>
              <w:t xml:space="preserve">E65 D→C pretrain</w:t>
            </w:r>
          </w:p>
        </w:tc>
        <w:tc>
          <w:tcPr/>
          <w:p>
            <w:pPr>
              <w:pStyle w:val="Compact"/>
              <w:jc w:val="left"/>
            </w:pPr>
            <w:r>
              <w:t xml:space="preserve">0.670</w:t>
            </w:r>
          </w:p>
        </w:tc>
        <w:tc>
          <w:tcPr/>
          <w:p>
            <w:pPr>
              <w:pStyle w:val="Compact"/>
              <w:jc w:val="left"/>
            </w:pPr>
            <w:r>
              <w:t xml:space="preserve">−0.010</w:t>
            </w:r>
          </w:p>
        </w:tc>
        <w:tc>
          <w:tcPr/>
          <w:p>
            <w:pPr>
              <w:pStyle w:val="Compact"/>
              <w:jc w:val="left"/>
            </w:pPr>
            <w:r>
              <w:t xml:space="preserve">(−0.142, +0.117)</w:t>
            </w:r>
          </w:p>
        </w:tc>
        <w:tc>
          <w:tcPr/>
          <w:p>
            <w:pPr>
              <w:pStyle w:val="Compact"/>
              <w:jc w:val="left"/>
            </w:pPr>
            <w:r>
              <w:t xml:space="preserve">27 / 22</w:t>
            </w:r>
          </w:p>
        </w:tc>
        <w:tc>
          <w:tcPr/>
          <w:p>
            <w:pPr>
              <w:pStyle w:val="Compact"/>
              <w:jc w:val="left"/>
            </w:pPr>
            <w:r>
              <w:t xml:space="preserve">0.851</w:t>
            </w:r>
          </w:p>
        </w:tc>
        <w:tc>
          <w:tcPr/>
          <w:p>
            <w:pPr>
              <w:pStyle w:val="Compact"/>
              <w:jc w:val="left"/>
            </w:pPr>
            <w:r>
              <w:t xml:space="preserve">n.s.</w:t>
            </w:r>
          </w:p>
        </w:tc>
      </w:tr>
      <w:tr>
        <w:tc>
          <w:tcPr/>
          <w:p>
            <w:pPr>
              <w:pStyle w:val="Compact"/>
              <w:jc w:val="left"/>
            </w:pPr>
            <w:r>
              <w:t xml:space="preserve">E68 no C-cross repr</w:t>
            </w:r>
          </w:p>
        </w:tc>
        <w:tc>
          <w:tcPr/>
          <w:p>
            <w:pPr>
              <w:pStyle w:val="Compact"/>
              <w:jc w:val="left"/>
            </w:pPr>
            <w:r>
              <w:t xml:space="preserve">0.633</w:t>
            </w:r>
          </w:p>
        </w:tc>
        <w:tc>
          <w:tcPr/>
          <w:p>
            <w:pPr>
              <w:pStyle w:val="Compact"/>
              <w:jc w:val="left"/>
            </w:pPr>
            <w:r>
              <w:t xml:space="preserve">+0.027</w:t>
            </w:r>
          </w:p>
        </w:tc>
        <w:tc>
          <w:tcPr/>
          <w:p>
            <w:pPr>
              <w:pStyle w:val="Compact"/>
              <w:jc w:val="left"/>
            </w:pPr>
            <w:r>
              <w:t xml:space="preserve">(+0.001, +0.055)</w:t>
            </w:r>
          </w:p>
        </w:tc>
        <w:tc>
          <w:tcPr/>
          <w:p>
            <w:pPr>
              <w:pStyle w:val="Compact"/>
              <w:jc w:val="left"/>
            </w:pPr>
            <w:r>
              <w:t xml:space="preserve">17 / 32</w:t>
            </w:r>
          </w:p>
        </w:tc>
        <w:tc>
          <w:tcPr/>
          <w:p>
            <w:pPr>
              <w:pStyle w:val="Compact"/>
              <w:jc w:val="left"/>
            </w:pPr>
            <w:r>
              <w:t xml:space="preserve">0.070</w:t>
            </w:r>
          </w:p>
        </w:tc>
        <w:tc>
          <w:tcPr/>
          <w:p>
            <w:pPr>
              <w:pStyle w:val="Compact"/>
              <w:jc w:val="left"/>
            </w:pPr>
            <w:r>
              <w:t xml:space="preserve">n.s.</w:t>
            </w:r>
          </w:p>
        </w:tc>
      </w:tr>
      <w:tr>
        <w:tc>
          <w:tcPr/>
          <w:p>
            <w:pPr>
              <w:pStyle w:val="Compact"/>
              <w:jc w:val="left"/>
            </w:pPr>
            <w:r>
              <w:t xml:space="preserve">E69 uniform gate</w:t>
            </w:r>
          </w:p>
        </w:tc>
        <w:tc>
          <w:tcPr/>
          <w:p>
            <w:pPr>
              <w:pStyle w:val="Compact"/>
              <w:jc w:val="left"/>
            </w:pPr>
            <w:r>
              <w:t xml:space="preserve">0.616</w:t>
            </w:r>
          </w:p>
        </w:tc>
        <w:tc>
          <w:tcPr/>
          <w:p>
            <w:pPr>
              <w:pStyle w:val="Compact"/>
              <w:jc w:val="left"/>
            </w:pPr>
            <w:r>
              <w:t xml:space="preserve">+0.043</w:t>
            </w:r>
          </w:p>
        </w:tc>
        <w:tc>
          <w:tcPr/>
          <w:p>
            <w:pPr>
              <w:pStyle w:val="Compact"/>
              <w:jc w:val="left"/>
            </w:pPr>
            <w:r>
              <w:t xml:space="preserve">(−0.001, +0.092)</w:t>
            </w:r>
          </w:p>
        </w:tc>
        <w:tc>
          <w:tcPr/>
          <w:p>
            <w:pPr>
              <w:pStyle w:val="Compact"/>
              <w:jc w:val="left"/>
            </w:pPr>
            <w:r>
              <w:t xml:space="preserve">21 / 28</w:t>
            </w:r>
          </w:p>
        </w:tc>
        <w:tc>
          <w:tcPr/>
          <w:p>
            <w:pPr>
              <w:pStyle w:val="Compact"/>
              <w:jc w:val="left"/>
            </w:pPr>
            <w:r>
              <w:t xml:space="preserve">0.181</w:t>
            </w:r>
          </w:p>
        </w:tc>
        <w:tc>
          <w:tcPr/>
          <w:p>
            <w:pPr>
              <w:pStyle w:val="Compact"/>
              <w:jc w:val="left"/>
            </w:pPr>
            <w:r>
              <w:t xml:space="preserve">n.s.</w:t>
            </w:r>
          </w:p>
        </w:tc>
      </w:tr>
      <w:tr>
        <w:tc>
          <w:tcPr/>
          <w:p>
            <w:pPr>
              <w:pStyle w:val="Compact"/>
              <w:jc w:val="left"/>
            </w:pPr>
            <w:r>
              <w:rPr>
                <w:bCs/>
                <w:b/>
              </w:rPr>
              <w:t xml:space="preserve">E70 no calibration</w:t>
            </w:r>
          </w:p>
        </w:tc>
        <w:tc>
          <w:tcPr/>
          <w:p>
            <w:pPr>
              <w:pStyle w:val="Compact"/>
              <w:jc w:val="left"/>
            </w:pPr>
            <w:r>
              <w:t xml:space="preserve">0.779</w:t>
            </w:r>
          </w:p>
        </w:tc>
        <w:tc>
          <w:tcPr/>
          <w:p>
            <w:pPr>
              <w:pStyle w:val="Compact"/>
              <w:jc w:val="left"/>
            </w:pPr>
            <w:r>
              <w:rPr>
                <w:bCs/>
                <w:b/>
              </w:rPr>
              <w:t xml:space="preserve">−0.119</w:t>
            </w:r>
          </w:p>
        </w:tc>
        <w:tc>
          <w:tcPr/>
          <w:p>
            <w:pPr>
              <w:pStyle w:val="Compact"/>
              <w:jc w:val="left"/>
            </w:pPr>
            <w:r>
              <w:t xml:space="preserve">(−0.225, −0.015)</w:t>
            </w:r>
          </w:p>
        </w:tc>
        <w:tc>
          <w:tcPr/>
          <w:p>
            <w:pPr>
              <w:pStyle w:val="Compact"/>
              <w:jc w:val="left"/>
            </w:pPr>
            <w:r>
              <w:t xml:space="preserve">35 / 14</w:t>
            </w:r>
          </w:p>
        </w:tc>
        <w:tc>
          <w:tcPr/>
          <w:p>
            <w:pPr>
              <w:pStyle w:val="Compact"/>
              <w:jc w:val="left"/>
            </w:pPr>
            <w:r>
              <w:rPr>
                <w:bCs/>
                <w:b/>
              </w:rPr>
              <w:t xml:space="preserve">0.043</w:t>
            </w:r>
          </w:p>
        </w:tc>
        <w:tc>
          <w:tcPr/>
          <w:p>
            <w:pPr>
              <w:pStyle w:val="Compact"/>
              <w:jc w:val="left"/>
            </w:pPr>
            <w:r>
              <w:t xml:space="preserve">*</w:t>
            </w:r>
          </w:p>
        </w:tc>
      </w:tr>
    </w:tbl>
    <w:p>
      <w:pPr>
        <w:pStyle w:val="BodyText"/>
      </w:pPr>
      <w:r>
        <w:t xml:space="preserve">Four statistically significant comparisons (E61, E62, E63 baselines; E70 ablation) support the C-triplet claims of the manuscript. The remaining four comparisons (E60 local, E65 D→C pretrain, E68 no C-cross, E69 uniform gate) do not reach significance.</w:t>
      </w:r>
    </w:p>
    <w:bookmarkEnd w:id="52"/>
    <w:bookmarkStart w:id="53" w:name="s6.4-interpretation"/>
    <w:p>
      <w:pPr>
        <w:pStyle w:val="Heading3"/>
      </w:pPr>
      <w:r>
        <w:t xml:space="preserve">S6.4 Interpretation</w:t>
      </w:r>
    </w:p>
    <w:p>
      <w:pPr>
        <w:numPr>
          <w:ilvl w:val="0"/>
          <w:numId w:val="1010"/>
        </w:numPr>
        <w:pStyle w:val="Compact"/>
      </w:pPr>
      <w:r>
        <w:rPr>
          <w:bCs/>
          <w:b/>
        </w:rPr>
        <w:t xml:space="preserve">C-hole</w:t>
      </w:r>
      <w:r>
        <w:t xml:space="preserve"> </w:t>
      </w:r>
      <w:r>
        <w:t xml:space="preserve">improvement is not supported by our data. Future work should expand the C-hole sample size before attempting hole-task claims.</w:t>
      </w:r>
    </w:p>
    <w:p>
      <w:pPr>
        <w:numPr>
          <w:ilvl w:val="0"/>
          <w:numId w:val="1010"/>
        </w:numPr>
        <w:pStyle w:val="Compact"/>
      </w:pPr>
      <w:r>
        <w:rPr>
          <w:bCs/>
          <w:b/>
        </w:rPr>
        <w:t xml:space="preserve">C-triplet</w:t>
      </w:r>
      <w:r>
        <w:t xml:space="preserve"> </w:t>
      </w:r>
      <w:r>
        <w:t xml:space="preserve">improvement over the three legacy federated baselines is supported with p &lt; 0.05 in each pair and bootstrap CIs straddling or sitting below zero.</w:t>
      </w:r>
    </w:p>
    <w:p>
      <w:pPr>
        <w:numPr>
          <w:ilvl w:val="0"/>
          <w:numId w:val="1010"/>
        </w:numPr>
        <w:pStyle w:val="Compact"/>
      </w:pPr>
      <w:r>
        <w:rPr>
          <w:bCs/>
          <w:b/>
        </w:rPr>
        <w:t xml:space="preserve">Calibration ablation (E70)</w:t>
      </w:r>
      <w:r>
        <w:t xml:space="preserve"> </w:t>
      </w:r>
      <w:r>
        <w:t xml:space="preserve">is the</w:t>
      </w:r>
      <w:r>
        <w:t xml:space="preserve"> </w:t>
      </w:r>
      <w:r>
        <w:rPr>
          <w:iCs/>
          <w:i/>
        </w:rPr>
        <w:t xml:space="preserve">only</w:t>
      </w:r>
      <w:r>
        <w:t xml:space="preserve"> </w:t>
      </w:r>
      <w:r>
        <w:t xml:space="preserve">component-level comparison that reaches significance, with PC² 0.119 eV better than the no-calibration variant. The CI sits entirely below zero.</w:t>
      </w:r>
    </w:p>
    <w:p>
      <w:pPr>
        <w:numPr>
          <w:ilvl w:val="0"/>
          <w:numId w:val="1010"/>
        </w:numPr>
        <w:pStyle w:val="Compact"/>
      </w:pPr>
      <w:r>
        <w:rPr>
          <w:bCs/>
          <w:b/>
        </w:rPr>
        <w:t xml:space="preserve">Gate ablations (E68, E69)</w:t>
      </w:r>
      <w:r>
        <w:t xml:space="preserve"> </w:t>
      </w:r>
      <w:r>
        <w:t xml:space="preserve">do not support a claim that the chemistry-driven gate weighting drives the C-triplet improvement.</w:t>
      </w:r>
    </w:p>
    <w:p>
      <w:r>
        <w:pict>
          <v:rect style="width:0;height:1.5pt" o:hralign="center" o:hrstd="t" o:hr="t"/>
        </w:pict>
      </w:r>
    </w:p>
    <w:bookmarkEnd w:id="53"/>
    <w:bookmarkEnd w:id="54"/>
    <w:bookmarkStart w:id="62" w:name="s7.-ablation-studies"/>
    <w:p>
      <w:pPr>
        <w:pStyle w:val="Heading2"/>
      </w:pPr>
      <w:r>
        <w:t xml:space="preserve">S7. Ablation studies</w:t>
      </w:r>
    </w:p>
    <w:bookmarkStart w:id="55" w:name="s7.1-ablation-matrix"/>
    <w:p>
      <w:pPr>
        <w:pStyle w:val="Heading3"/>
      </w:pPr>
      <w:r>
        <w:t xml:space="preserve">S7.1 Ablation matrix</w:t>
      </w:r>
    </w:p>
    <w:p>
      <w:pPr>
        <w:pStyle w:val="FirstParagraph"/>
      </w:pPr>
      <w:r>
        <w:t xml:space="preserve">Four targeted ablations were run with the same hyperparameters, seeds and code path as the reference PC²-FedReorg (E66). The differences are confined to the indicated component.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What is removed / changed</w:t>
            </w:r>
          </w:p>
        </w:tc>
      </w:tr>
      <w:tr>
        <w:tc>
          <w:tcPr/>
          <w:p>
            <w:pPr>
              <w:pStyle w:val="Compact"/>
              <w:jc w:val="left"/>
            </w:pPr>
            <w:r>
              <w:t xml:space="preserve">E70</w:t>
            </w:r>
          </w:p>
        </w:tc>
        <w:tc>
          <w:tcPr/>
          <w:p>
            <w:pPr>
              <w:pStyle w:val="Compact"/>
              <w:jc w:val="left"/>
            </w:pPr>
            <w:r>
              <w:t xml:space="preserve">no-calibration variant</w:t>
            </w:r>
          </w:p>
        </w:tc>
        <w:tc>
          <w:tcPr/>
          <w:p>
            <w:pPr>
              <w:pStyle w:val="Compact"/>
              <w:jc w:val="left"/>
            </w:pPr>
            <w:r>
              <w:rPr>
                <w:rStyle w:val="VerbatimChar"/>
              </w:rPr>
              <w:t xml:space="preserve">use_calibration=False</w:t>
            </w:r>
            <w:r>
              <w:t xml:space="preserve">; (μ, σ) buffers are not installed; loss and metric both in eV-space</w:t>
            </w:r>
          </w:p>
        </w:tc>
      </w:tr>
      <w:tr>
        <w:tc>
          <w:tcPr/>
          <w:p>
            <w:pPr>
              <w:pStyle w:val="Compact"/>
              <w:jc w:val="left"/>
            </w:pPr>
            <w:r>
              <w:t xml:space="preserve">E68</w:t>
            </w:r>
          </w:p>
        </w:tc>
        <w:tc>
          <w:tcPr/>
          <w:p>
            <w:pPr>
              <w:pStyle w:val="Compact"/>
              <w:jc w:val="left"/>
            </w:pPr>
            <w:r>
              <w:t xml:space="preserve">no chemistry-driven cross-quantity encoder sharing</w:t>
            </w:r>
          </w:p>
        </w:tc>
        <w:tc>
          <w:tcPr/>
          <w:p>
            <w:pPr>
              <w:pStyle w:val="Compact"/>
              <w:jc w:val="left"/>
            </w:pPr>
            <w:r>
              <w:t xml:space="preserve">T_repr cross terms between C-hole and C-triplet floored to 10⁻³ in a separate</w:t>
            </w:r>
            <w:r>
              <w:t xml:space="preserve"> </w:t>
            </w:r>
            <w:r>
              <w:rPr>
                <w:rStyle w:val="VerbatimChar"/>
              </w:rPr>
              <w:t xml:space="preserve">T_transferability_no_ccross.json</w:t>
            </w:r>
            <w:r>
              <w:t xml:space="preserve"> </w:t>
            </w:r>
            <w:r>
              <w:t xml:space="preserve">artefact; everything else identical</w:t>
            </w:r>
          </w:p>
        </w:tc>
      </w:tr>
      <w:tr>
        <w:tc>
          <w:tcPr/>
          <w:p>
            <w:pPr>
              <w:pStyle w:val="Compact"/>
              <w:jc w:val="left"/>
            </w:pPr>
            <w:r>
              <w:t xml:space="preserve">E69</w:t>
            </w:r>
          </w:p>
        </w:tc>
        <w:tc>
          <w:tcPr/>
          <w:p>
            <w:pPr>
              <w:pStyle w:val="Compact"/>
              <w:jc w:val="left"/>
            </w:pPr>
            <w:r>
              <w:t xml:space="preserve">uniform FedAvg weighting</w:t>
            </w:r>
          </w:p>
        </w:tc>
        <w:tc>
          <w:tcPr/>
          <w:p>
            <w:pPr>
              <w:pStyle w:val="Compact"/>
              <w:jc w:val="left"/>
            </w:pPr>
            <w:r>
              <w:t xml:space="preserve">aggregation strategy switched from</w:t>
            </w:r>
            <w:r>
              <w:t xml:space="preserve"> </w:t>
            </w:r>
            <w:r>
              <w:rPr>
                <w:rStyle w:val="VerbatimChar"/>
              </w:rPr>
              <w:t xml:space="preserve">pc2_fed</w:t>
            </w:r>
            <w:r>
              <w:t xml:space="preserve"> </w:t>
            </w:r>
            <w:r>
              <w:t xml:space="preserve">to</w:t>
            </w:r>
            <w:r>
              <w:t xml:space="preserve"> </w:t>
            </w:r>
            <w:r>
              <w:rPr>
                <w:rStyle w:val="VerbatimChar"/>
              </w:rPr>
              <w:t xml:space="preserve">fedavg</w:t>
            </w:r>
            <w:r>
              <w:t xml:space="preserve">; calibration and adapter retained</w:t>
            </w:r>
          </w:p>
        </w:tc>
      </w:tr>
      <w:tr>
        <w:tc>
          <w:tcPr/>
          <w:p>
            <w:pPr>
              <w:pStyle w:val="Compact"/>
              <w:jc w:val="left"/>
            </w:pPr>
            <w:r>
              <w:t xml:space="preserve">E65</w:t>
            </w:r>
          </w:p>
        </w:tc>
        <w:tc>
          <w:tcPr/>
          <w:p>
            <w:pPr>
              <w:pStyle w:val="Compact"/>
              <w:jc w:val="left"/>
            </w:pPr>
            <w:r>
              <w:t xml:space="preserve">D → C supervised pretrain control</w:t>
            </w:r>
          </w:p>
        </w:tc>
        <w:tc>
          <w:tcPr/>
          <w:p>
            <w:pPr>
              <w:pStyle w:val="Compact"/>
              <w:jc w:val="left"/>
            </w:pPr>
            <w:r>
              <w:t xml:space="preserve">Stage 1: train one GIN + KAN model on all 5,876 D molecules; Stage 2: per-fold LOOCV fine-tune on C with the D-pretrained weights as the starting point</w:t>
            </w:r>
          </w:p>
        </w:tc>
      </w:tr>
    </w:tbl>
    <w:p>
      <w:pPr>
        <w:pStyle w:val="BodyText"/>
      </w:pPr>
      <w:r>
        <w:t xml:space="preserve">Full per-seed predictions and summary statistics are released as</w:t>
      </w:r>
      <w:r>
        <w:t xml:space="preserve"> </w:t>
      </w:r>
      <w:r>
        <w:rPr>
          <w:rStyle w:val="VerbatimChar"/>
        </w:rPr>
        <w:t xml:space="preserve">results/pc2_phase5_ablation_predictions.json</w:t>
      </w:r>
      <w:r>
        <w:t xml:space="preserve"> </w:t>
      </w:r>
      <w:r>
        <w:t xml:space="preserve">and</w:t>
      </w:r>
      <w:r>
        <w:t xml:space="preserve"> </w:t>
      </w:r>
      <w:r>
        <w:rPr>
          <w:rStyle w:val="VerbatimChar"/>
        </w:rPr>
        <w:t xml:space="preserve">results/pc2_phase5_ablation_summary.csv</w:t>
      </w:r>
      <w:r>
        <w:t xml:space="preserve">.</w:t>
      </w:r>
    </w:p>
    <w:bookmarkEnd w:id="55"/>
    <w:bookmarkStart w:id="56" w:name="X31972c7250565d525dafb44bf92a5575de942e5"/>
    <w:p>
      <w:pPr>
        <w:pStyle w:val="Heading3"/>
      </w:pPr>
      <w:r>
        <w:t xml:space="preserve">S7.2 E70 — task-specific calibration removed</w:t>
      </w:r>
    </w:p>
    <w:p>
      <w:pPr>
        <w:numPr>
          <w:ilvl w:val="0"/>
          <w:numId w:val="1011"/>
        </w:numPr>
        <w:pStyle w:val="Compact"/>
      </w:pPr>
      <w:r>
        <w:t xml:space="preserve">C-triplet: ΔMAE = −0.119 eV; 95 % CI (−0.225, −0.015); paired Wilcoxon p = 0.043; 35 / 14 wins for PC².</w:t>
      </w:r>
    </w:p>
    <w:p>
      <w:pPr>
        <w:numPr>
          <w:ilvl w:val="0"/>
          <w:numId w:val="1011"/>
        </w:numPr>
        <w:pStyle w:val="Compact"/>
      </w:pPr>
      <w:r>
        <w:t xml:space="preserve">C-hole: ΔMAE = +0.005 eV; 95 % CI (−0.033, +0.042); paired Wilcoxon p = 0.58; 23 / 30 wins.</w:t>
      </w:r>
    </w:p>
    <w:p>
      <w:pPr>
        <w:pStyle w:val="FirstParagraph"/>
      </w:pPr>
      <w:r>
        <w:t xml:space="preserve">E70 is the only ablation in this study that produces a statistically significant degradation versus PC². The effect is restricted to C-triplet, consistent with the larger label-scale gap on C-triplet (mean 2.64 eV) relative to C-hole (mean 1.22 eV). We interpret task-specific calibration as the only ablation-supported active component.</w:t>
      </w:r>
    </w:p>
    <w:bookmarkEnd w:id="56"/>
    <w:bookmarkStart w:id="57" w:name="s7.3-e68-no-c-cross-representation"/>
    <w:p>
      <w:pPr>
        <w:pStyle w:val="Heading3"/>
      </w:pPr>
      <w:r>
        <w:t xml:space="preserve">S7.3 E68 — no C-cross representation</w:t>
      </w:r>
    </w:p>
    <w:p>
      <w:pPr>
        <w:numPr>
          <w:ilvl w:val="0"/>
          <w:numId w:val="1012"/>
        </w:numPr>
        <w:pStyle w:val="Compact"/>
      </w:pPr>
      <w:r>
        <w:t xml:space="preserve">C-triplet: ΔMAE = +0.027 eV (PC²</w:t>
      </w:r>
      <w:r>
        <w:t xml:space="preserve"> </w:t>
      </w:r>
      <w:r>
        <w:rPr>
          <w:iCs/>
          <w:i/>
        </w:rPr>
        <w:t xml:space="preserve">slightly worse</w:t>
      </w:r>
      <w:r>
        <w:t xml:space="preserve"> </w:t>
      </w:r>
      <w:r>
        <w:t xml:space="preserve">than the no-C-cross variant); 95 % CI (+0.001, +0.055); paired Wilcoxon p = 0.070; 17 / 32 wins.</w:t>
      </w:r>
    </w:p>
    <w:p>
      <w:pPr>
        <w:numPr>
          <w:ilvl w:val="0"/>
          <w:numId w:val="1012"/>
        </w:numPr>
        <w:pStyle w:val="Compact"/>
      </w:pPr>
      <w:r>
        <w:t xml:space="preserve">C-hole: ΔMAE = −0.0001 eV; 95 % CI (−0.017, +0.017); paired Wilcoxon p = 0.56.</w:t>
      </w:r>
    </w:p>
    <w:p>
      <w:pPr>
        <w:pStyle w:val="FirstParagraph"/>
      </w:pPr>
      <w:r>
        <w:t xml:space="preserve">E68 sits close to but does not cross the 0.05 threshold on C-triplet. With the present 5-seed bootstrap design we do not interpret this as a reliable trend; the bootstrap CI on the C-triplet ΔMAE only narrowly excludes zero, and the direction of the effect (PC² slightly worse) would in any case argue against attributing C-triplet gains to the cross-quantity encoder share.</w:t>
      </w:r>
    </w:p>
    <w:bookmarkEnd w:id="57"/>
    <w:bookmarkStart w:id="58" w:name="s7.4-e69-uniform-fedavg-weighting"/>
    <w:p>
      <w:pPr>
        <w:pStyle w:val="Heading3"/>
      </w:pPr>
      <w:r>
        <w:t xml:space="preserve">S7.4 E69 — uniform FedAvg weighting</w:t>
      </w:r>
    </w:p>
    <w:p>
      <w:pPr>
        <w:numPr>
          <w:ilvl w:val="0"/>
          <w:numId w:val="1013"/>
        </w:numPr>
        <w:pStyle w:val="Compact"/>
      </w:pPr>
      <w:r>
        <w:t xml:space="preserve">C-triplet: ΔMAE = +0.043 eV (PC² slightly worse than uniform weighting); 95 % CI (−0.001, +0.092); paired Wilcoxon p = 0.18.</w:t>
      </w:r>
    </w:p>
    <w:p>
      <w:pPr>
        <w:numPr>
          <w:ilvl w:val="0"/>
          <w:numId w:val="1013"/>
        </w:numPr>
        <w:pStyle w:val="Compact"/>
      </w:pPr>
      <w:r>
        <w:t xml:space="preserve">C-hole: ΔMAE = +0.012 eV; 95 % CI (−0.020, +0.043); paired Wilcoxon p = 0.43.</w:t>
      </w:r>
    </w:p>
    <w:p>
      <w:pPr>
        <w:pStyle w:val="FirstParagraph"/>
      </w:pPr>
      <w:r>
        <w:t xml:space="preserve">E69 does not support a claim that the chemistry-driven gate weighting improves performance over uniform FedAvg weighting in our federation. The most plausible explanation (Section 5 of the main manuscript) is that the chemistry overlap between C-hole and C-triplet is already near-unity, so uniform and chemistry-driven gates produce essentially the same weight vectors for the C-↔-C pair that matters most.</w:t>
      </w:r>
    </w:p>
    <w:bookmarkEnd w:id="58"/>
    <w:bookmarkStart w:id="59" w:name="s7.5-e65-d-c-supervised-pretrain-control"/>
    <w:p>
      <w:pPr>
        <w:pStyle w:val="Heading3"/>
      </w:pPr>
      <w:r>
        <w:t xml:space="preserve">S7.5 E65 — D → C supervised pretrain control</w:t>
      </w:r>
    </w:p>
    <w:p>
      <w:pPr>
        <w:numPr>
          <w:ilvl w:val="0"/>
          <w:numId w:val="1014"/>
        </w:numPr>
        <w:pStyle w:val="Compact"/>
      </w:pPr>
      <w:r>
        <w:t xml:space="preserve">C-triplet: ΔMAE = −0.010 eV; 95 % CI (−0.142, +0.117); paired Wilcoxon p = 0.85.</w:t>
      </w:r>
    </w:p>
    <w:p>
      <w:pPr>
        <w:numPr>
          <w:ilvl w:val="0"/>
          <w:numId w:val="1014"/>
        </w:numPr>
        <w:pStyle w:val="Compact"/>
      </w:pPr>
      <w:r>
        <w:t xml:space="preserve">C-hole: ΔMAE = −0.021 eV; 95 % CI (−0.099, +0.055); paired Wilcoxon p = 0.76.</w:t>
      </w:r>
    </w:p>
    <w:p>
      <w:pPr>
        <w:pStyle w:val="FirstParagraph"/>
      </w:pPr>
      <w:r>
        <w:t xml:space="preserve">E65 was designed as a negative-transfer control: by construction, V1 protocol divergence (KS p ≈ 10⁻¹¹⁶) and V3 chemistry distance (Tanimoto K ≈ 0.12) would suggest that naively transferring D’s supervised labels to C would be harmful. The empirical comparison, however, is not statistically distinguishable from PC²-FedReorg on either target. We therefore avoid the stronger claim that D → C transfer is necessarily harmful, even though the pre-verification evidence is consistent with that hypothesis. Two possible reasons:</w:t>
      </w:r>
    </w:p>
    <w:p>
      <w:pPr>
        <w:numPr>
          <w:ilvl w:val="0"/>
          <w:numId w:val="1015"/>
        </w:numPr>
        <w:pStyle w:val="Compact"/>
      </w:pPr>
      <w:r>
        <w:t xml:space="preserve">PC²-FedReorg’s own T_head[D, C-*] = 0 also blocks D’s labels from reaching C’s head; the methodological difference between E65 and PC² is therefore concentrated in the encoder side, where T_repr[D, C-*] ≈ 0.05 is small but non-zero.</w:t>
      </w:r>
    </w:p>
    <w:p>
      <w:pPr>
        <w:numPr>
          <w:ilvl w:val="0"/>
          <w:numId w:val="1015"/>
        </w:numPr>
        <w:pStyle w:val="Compact"/>
      </w:pPr>
      <w:r>
        <w:t xml:space="preserve">With n = 49–53 the paired-test power to discriminate ΔMAE on the order of 0.01–0.05 eV is limited; bootstrap CIs span ±0.1 eV.</w:t>
      </w:r>
    </w:p>
    <w:p>
      <w:pPr>
        <w:pStyle w:val="FirstParagraph"/>
      </w:pPr>
      <w:r>
        <w:t xml:space="preserve">The data therefore support the more limited conclusion that neither method extracts a significant benefit from D’s hole-λ supervision on the C tasks.</w:t>
      </w:r>
    </w:p>
    <w:bookmarkEnd w:id="59"/>
    <w:bookmarkStart w:id="60" w:name="X120383ddc81011a48ef983a37d5d3e1f9b5cd8c"/>
    <w:p>
      <w:pPr>
        <w:pStyle w:val="Heading3"/>
      </w:pPr>
      <w:r>
        <w:t xml:space="preserve">S7.6 Synthesis: what the ablations support and what they do not</w:t>
      </w:r>
    </w:p>
    <w:p>
      <w:pPr>
        <w:numPr>
          <w:ilvl w:val="0"/>
          <w:numId w:val="1016"/>
        </w:numPr>
        <w:pStyle w:val="Compact"/>
      </w:pPr>
      <w:r>
        <w:rPr>
          <w:bCs/>
          <w:b/>
        </w:rPr>
        <w:t xml:space="preserve">Supported by ablation evidence (E70) and confirmed by the positive control (E71, §S7.7):</w:t>
      </w:r>
      <w:r>
        <w:t xml:space="preserve"> </w:t>
      </w:r>
      <w:r>
        <w:t xml:space="preserve">task-specific calibration under personalized heads is the only PC² component whose removal causes a statistically significant degradation, the effect is confined to C-triplet (E70), and the calibration mechanism is</w:t>
      </w:r>
      <w:r>
        <w:t xml:space="preserve"> </w:t>
      </w:r>
      <w:r>
        <w:rPr>
          <w:iCs/>
          <w:i/>
        </w:rPr>
        <w:t xml:space="preserve">sufficient</w:t>
      </w:r>
      <w:r>
        <w:t xml:space="preserve"> </w:t>
      </w:r>
      <w:r>
        <w:t xml:space="preserve">— adding it to a plain FedPer baseline already reproduces PC²-FedReorg’s C-triplet improvement (E71).</w:t>
      </w:r>
    </w:p>
    <w:p>
      <w:pPr>
        <w:numPr>
          <w:ilvl w:val="0"/>
          <w:numId w:val="1016"/>
        </w:numPr>
        <w:pStyle w:val="Compact"/>
      </w:pPr>
      <w:r>
        <w:rPr>
          <w:bCs/>
          <w:b/>
        </w:rPr>
        <w:t xml:space="preserve">Not supported by ablation evidence:</w:t>
      </w:r>
      <w:r>
        <w:t xml:space="preserve"> </w:t>
      </w:r>
      <w:r>
        <w:t xml:space="preserve">the chemistry-driven gate weighting (T_repr cross-routing, T_head sparsification) does not drive the C-triplet improvement over uniform weighting (E68, E69), and adding the residual adapter and the transferability gate on top of the calibrated FedPer baseline does not yield measurable performance over E71 (E71 ≈ E66).</w:t>
      </w:r>
    </w:p>
    <w:p>
      <w:pPr>
        <w:numPr>
          <w:ilvl w:val="0"/>
          <w:numId w:val="1016"/>
        </w:numPr>
        <w:pStyle w:val="Compact"/>
      </w:pPr>
      <w:r>
        <w:rPr>
          <w:bCs/>
          <w:b/>
        </w:rPr>
        <w:t xml:space="preserve">Not demonstrated by ablation evidence:</w:t>
      </w:r>
      <w:r>
        <w:t xml:space="preserve"> </w:t>
      </w:r>
      <w:r>
        <w:t xml:space="preserve">a claim that naive D → C supervised pretrain produces negative transfer (E65).</w:t>
      </w:r>
    </w:p>
    <w:p>
      <w:pPr>
        <w:pStyle w:val="FirstParagraph"/>
      </w:pPr>
      <w:r>
        <w:t xml:space="preserve">Together, these results position PC²-FedReorg’s chemistry/protocol gate as an</w:t>
      </w:r>
      <w:r>
        <w:t xml:space="preserve"> </w:t>
      </w:r>
      <w:r>
        <w:rPr>
          <w:iCs/>
          <w:i/>
        </w:rPr>
        <w:t xml:space="preserve">auditable algorithmic transparency mechanism</w:t>
      </w:r>
      <w:r>
        <w:t xml:space="preserve"> </w:t>
      </w:r>
      <w:r>
        <w:t xml:space="preserve">(Section S4.4) rather than as a performance lever, and identify task-specific calibration under personalized heads as the active mechanism behind the C-triplet improvement.</w:t>
      </w:r>
    </w:p>
    <w:bookmarkEnd w:id="60"/>
    <w:bookmarkStart w:id="61" w:name="Xe2875bb99cd82e09c6cde41abc5d3249c07eb4b"/>
    <w:p>
      <w:pPr>
        <w:pStyle w:val="Heading3"/>
      </w:pPr>
      <w:r>
        <w:t xml:space="preserve">S7.7 E71 — FedPer with calibration only (positive control)</w:t>
      </w:r>
    </w:p>
    <w:p>
      <w:pPr>
        <w:pStyle w:val="FirstParagraph"/>
      </w:pPr>
      <w:r>
        <w:rPr>
          <w:bCs/>
          <w:b/>
        </w:rPr>
        <w:t xml:space="preserve">Purpose.</w:t>
      </w:r>
      <w:r>
        <w:t xml:space="preserve"> </w:t>
      </w:r>
      <w:r>
        <w:t xml:space="preserve">The four PC² component ablations in §S7.1–S7.6 each</w:t>
      </w:r>
      <w:r>
        <w:t xml:space="preserve"> </w:t>
      </w:r>
      <w:r>
        <w:rPr>
          <w:iCs/>
          <w:i/>
        </w:rPr>
        <w:t xml:space="preserve">remove</w:t>
      </w:r>
      <w:r>
        <w:t xml:space="preserve"> </w:t>
      </w:r>
      <w:r>
        <w:t xml:space="preserve">one ingredient from PC²-FedReorg, which collectively show that calibration is necessary. E71 is the symmetric</w:t>
      </w:r>
      <w:r>
        <w:t xml:space="preserve"> </w:t>
      </w:r>
      <w:r>
        <w:rPr>
          <w:iCs/>
          <w:i/>
        </w:rPr>
        <w:t xml:space="preserve">positive control</w:t>
      </w:r>
      <w:r>
        <w:t xml:space="preserve">: a plain FedPer baseline endowed only with the per-task-client (μ, σ) calibration buffer (no residual adapter, no transferability-driven routing). It directly tests whether the calibration mechanism is also</w:t>
      </w:r>
      <w:r>
        <w:t xml:space="preserve"> </w:t>
      </w:r>
      <w:r>
        <w:rPr>
          <w:iCs/>
          <w:i/>
        </w:rPr>
        <w:t xml:space="preserve">sufficient</w:t>
      </w:r>
      <w:r>
        <w:t xml:space="preserve"> </w:t>
      </w:r>
      <w:r>
        <w:t xml:space="preserve">to reproduce PC²-FedReorg’s C-triplet gain.</w:t>
      </w:r>
    </w:p>
    <w:p>
      <w:pPr>
        <w:pStyle w:val="BodyText"/>
      </w:pPr>
      <w:r>
        <w:rPr>
          <w:bCs/>
          <w:b/>
        </w:rPr>
        <w:t xml:space="preserve">Specification.</w:t>
      </w:r>
      <w:r>
        <w:t xml:space="preserve"> </w:t>
      </w:r>
      <w:r>
        <w:t xml:space="preserve">E71 uses the same code path as E66 with two differences:</w:t>
      </w:r>
      <w:r>
        <w:t xml:space="preserve"> </w:t>
      </w:r>
      <w:r>
        <w:rPr>
          <w:rStyle w:val="VerbatimChar"/>
        </w:rPr>
        <w:t xml:space="preserve">use_adapter = False</w:t>
      </w:r>
      <w:r>
        <w:t xml:space="preserve"> </w:t>
      </w:r>
      <w:r>
        <w:t xml:space="preserve">and no</w:t>
      </w:r>
      <w:r>
        <w:t xml:space="preserve"> </w:t>
      </w:r>
      <w:r>
        <w:rPr>
          <w:rStyle w:val="VerbatimChar"/>
        </w:rPr>
        <w:t xml:space="preserve">aggregation_strategy = 'pc2_fed'</w:t>
      </w:r>
      <w:r>
        <w:t xml:space="preserve">. The encoder is shared by plain FedPer; the head is private (FedPer); the per-task-client (μ, σ) buffer is installed per LOOCV fold and universally excluded from aggregation by</w:t>
      </w:r>
      <w:r>
        <w:t xml:space="preserve"> </w:t>
      </w:r>
      <w:r>
        <w:rPr>
          <w:rStyle w:val="VerbatimChar"/>
        </w:rPr>
        <w:t xml:space="preserve">src/federated.py:_get_exclude_keys</w:t>
      </w:r>
      <w:r>
        <w:t xml:space="preserve"> </w:t>
      </w:r>
      <w:r>
        <w:t xml:space="preserve">(the same exclusion rule that protects calibration under FedAvg, FedProx, FedPer, FedBN and PC²-FedReorg). All other hyperparameters match E66 / E63 exactly: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seeds</w:t>
            </w:r>
          </w:p>
        </w:tc>
        <w:tc>
          <w:tcPr/>
          <w:p>
            <w:pPr>
              <w:pStyle w:val="Compact"/>
              <w:jc w:val="left"/>
            </w:pPr>
            <w:r>
              <w:t xml:space="preserve">{42, 123, 456, 789, 1000}</w:t>
            </w:r>
          </w:p>
        </w:tc>
        <w:tc>
          <w:tcPr/>
          <w:p>
            <w:pPr>
              <w:pStyle w:val="Compact"/>
              <w:jc w:val="left"/>
            </w:pPr>
            <w:r>
              <w:rPr>
                <w:rStyle w:val="VerbatimChar"/>
              </w:rPr>
              <w:t xml:space="preserve">experiments/run_e71_multiseed.py</w:t>
            </w:r>
          </w:p>
        </w:tc>
      </w:tr>
      <w:tr>
        <w:tc>
          <w:tcPr/>
          <w:p>
            <w:pPr>
              <w:pStyle w:val="Compact"/>
              <w:jc w:val="left"/>
            </w:pPr>
            <w:r>
              <w:t xml:space="preserve">evaluation</w:t>
            </w:r>
          </w:p>
        </w:tc>
        <w:tc>
          <w:tcPr/>
          <w:p>
            <w:pPr>
              <w:pStyle w:val="Compact"/>
              <w:jc w:val="left"/>
            </w:pPr>
            <w:r>
              <w:t xml:space="preserve">LOOCV on C-hole / C-triplet; 5-fold CV on A/B/D</w:t>
            </w:r>
          </w:p>
        </w:tc>
        <w:tc>
          <w:tcPr/>
          <w:p>
            <w:pPr>
              <w:pStyle w:val="Compact"/>
              <w:jc w:val="left"/>
            </w:pPr>
            <w:r>
              <w:rPr>
                <w:rStyle w:val="VerbatimChar"/>
              </w:rPr>
              <w:t xml:space="preserve">src/train_eval.py:federated_loocv_c_fast</w:t>
            </w:r>
          </w:p>
        </w:tc>
      </w:tr>
      <w:tr>
        <w:tc>
          <w:tcPr/>
          <w:p>
            <w:pPr>
              <w:pStyle w:val="Compact"/>
              <w:jc w:val="left"/>
            </w:pPr>
            <w:r>
              <w:t xml:space="preserve">federation rounds</w:t>
            </w:r>
          </w:p>
        </w:tc>
        <w:tc>
          <w:tcPr/>
          <w:p>
            <w:pPr>
              <w:pStyle w:val="Compact"/>
              <w:jc w:val="left"/>
            </w:pPr>
            <w:r>
              <w:t xml:space="preserve">50</w:t>
            </w:r>
          </w:p>
        </w:tc>
        <w:tc>
          <w:tcPr/>
          <w:p>
            <w:pPr>
              <w:pStyle w:val="Compact"/>
              <w:jc w:val="left"/>
            </w:pPr>
            <w:r>
              <w:rPr>
                <w:rStyle w:val="VerbatimChar"/>
              </w:rPr>
              <w:t xml:space="preserve">experiments/configs.py:N_FED_ROUNDS</w:t>
            </w:r>
          </w:p>
        </w:tc>
      </w:tr>
      <w:tr>
        <w:tc>
          <w:tcPr/>
          <w:p>
            <w:pPr>
              <w:pStyle w:val="Compact"/>
              <w:jc w:val="left"/>
            </w:pPr>
            <w:r>
              <w:t xml:space="preserve">local epochs per round</w:t>
            </w:r>
          </w:p>
        </w:tc>
        <w:tc>
          <w:tcPr/>
          <w:p>
            <w:pPr>
              <w:pStyle w:val="Compact"/>
              <w:jc w:val="left"/>
            </w:pPr>
            <w:r>
              <w:t xml:space="preserve">5</w:t>
            </w:r>
          </w:p>
        </w:tc>
        <w:tc>
          <w:tcPr/>
          <w:p>
            <w:pPr>
              <w:pStyle w:val="Compact"/>
              <w:jc w:val="left"/>
            </w:pPr>
            <w:r>
              <w:rPr>
                <w:rStyle w:val="VerbatimChar"/>
              </w:rPr>
              <w:t xml:space="preserve">experiments/configs.py:N_LOCAL_EPOCHS</w:t>
            </w:r>
          </w:p>
        </w:tc>
      </w:tr>
      <w:tr>
        <w:tc>
          <w:tcPr/>
          <w:p>
            <w:pPr>
              <w:pStyle w:val="Compact"/>
              <w:jc w:val="left"/>
            </w:pPr>
            <w:r>
              <w:t xml:space="preserve">head</w:t>
            </w:r>
          </w:p>
        </w:tc>
        <w:tc>
          <w:tcPr/>
          <w:p>
            <w:pPr>
              <w:pStyle w:val="Compact"/>
              <w:jc w:val="left"/>
            </w:pPr>
            <w:r>
              <w:t xml:space="preserve">3-layer KAN, grid = 5, spline order = 3</w:t>
            </w:r>
          </w:p>
        </w:tc>
        <w:tc>
          <w:tcPr/>
          <w:p>
            <w:pPr>
              <w:pStyle w:val="Compact"/>
              <w:jc w:val="left"/>
            </w:pPr>
            <w:r>
              <w:rPr>
                <w:rStyle w:val="VerbatimChar"/>
              </w:rPr>
              <w:t xml:space="preserve">experiments/configs.py</w:t>
            </w:r>
          </w:p>
        </w:tc>
      </w:tr>
      <w:tr>
        <w:tc>
          <w:tcPr/>
          <w:p>
            <w:pPr>
              <w:pStyle w:val="Compact"/>
              <w:jc w:val="left"/>
            </w:pPr>
            <w:r>
              <w:t xml:space="preserve">optimizer</w:t>
            </w:r>
          </w:p>
        </w:tc>
        <w:tc>
          <w:tcPr/>
          <w:p>
            <w:pPr>
              <w:pStyle w:val="Compact"/>
              <w:jc w:val="left"/>
            </w:pPr>
            <w:r>
              <w:t xml:space="preserve">Adam, lr = 1 × 10⁻⁴, cosine annealing</w:t>
            </w:r>
          </w:p>
        </w:tc>
        <w:tc>
          <w:tcPr/>
          <w:p>
            <w:pPr>
              <w:pStyle w:val="Compact"/>
              <w:jc w:val="left"/>
            </w:pPr>
            <w:r>
              <w:rPr>
                <w:rStyle w:val="VerbatimChar"/>
              </w:rPr>
              <w:t xml:space="preserve">experiments/configs.py:LR_FINETUNE</w:t>
            </w:r>
          </w:p>
        </w:tc>
      </w:tr>
      <w:tr>
        <w:tc>
          <w:tcPr/>
          <w:p>
            <w:pPr>
              <w:pStyle w:val="Compact"/>
              <w:jc w:val="left"/>
            </w:pPr>
            <w:r>
              <w:t xml:space="preserve">early-stop patience</w:t>
            </w:r>
          </w:p>
        </w:tc>
        <w:tc>
          <w:tcPr/>
          <w:p>
            <w:pPr>
              <w:pStyle w:val="Compact"/>
              <w:jc w:val="left"/>
            </w:pPr>
            <w:r>
              <w:t xml:space="preserve">15</w:t>
            </w:r>
          </w:p>
        </w:tc>
        <w:tc>
          <w:tcPr/>
          <w:p>
            <w:pPr>
              <w:pStyle w:val="Compact"/>
              <w:jc w:val="left"/>
            </w:pPr>
            <w:r>
              <w:rPr>
                <w:rStyle w:val="VerbatimChar"/>
              </w:rPr>
              <w:t xml:space="preserve">experiments/configs.py:PATIENCE</w:t>
            </w:r>
          </w:p>
        </w:tc>
      </w:tr>
      <w:tr>
        <w:tc>
          <w:tcPr/>
          <w:p>
            <w:pPr>
              <w:pStyle w:val="Compact"/>
              <w:jc w:val="left"/>
            </w:pPr>
            <w:r>
              <w:t xml:space="preserve">device assignment</w:t>
            </w:r>
          </w:p>
        </w:tc>
        <w:tc>
          <w:tcPr/>
          <w:p>
            <w:pPr>
              <w:pStyle w:val="Compact"/>
              <w:jc w:val="left"/>
            </w:pPr>
            <w:r>
              <w:t xml:space="preserve">identical to E66 (cuda:0 / cuda:1; CPU aggregation)</w:t>
            </w:r>
          </w:p>
        </w:tc>
        <w:tc>
          <w:tcPr/>
          <w:p>
            <w:pPr>
              <w:pStyle w:val="Compact"/>
              <w:jc w:val="left"/>
            </w:pPr>
            <w:r>
              <w:t xml:space="preserve">hardcoded</w:t>
            </w:r>
          </w:p>
        </w:tc>
      </w:tr>
    </w:tbl>
    <w:p>
      <w:pPr>
        <w:pStyle w:val="BodyText"/>
      </w:pPr>
      <w:r>
        <w:rPr>
          <w:bCs/>
          <w:b/>
        </w:rPr>
        <w:t xml:space="preserve">Wall-clock.</w:t>
      </w:r>
      <w:r>
        <w:t xml:space="preserve"> </w:t>
      </w:r>
      <w:r>
        <w:t xml:space="preserve">Five-seed run on dual A30: ≈ 2 h 27 min (consistent with E66 on the same federation).</w:t>
      </w:r>
    </w:p>
    <w:p>
      <w:pPr>
        <w:pStyle w:val="BodyText"/>
      </w:pPr>
      <w:r>
        <w:rPr>
          <w:bCs/>
          <w:b/>
        </w:rPr>
        <w:t xml:space="preserve">Released files.</w:t>
      </w:r>
      <w:r>
        <w:t xml:space="preserve"> </w:t>
      </w:r>
      <w:r>
        <w:t xml:space="preserve">All E71 outputs are isolated in the</w:t>
      </w:r>
      <w:r>
        <w:t xml:space="preserve"> </w:t>
      </w:r>
      <w:r>
        <w:rPr>
          <w:rStyle w:val="VerbatimChar"/>
        </w:rPr>
        <w:t xml:space="preserve">results/e71_*</w:t>
      </w:r>
      <w:r>
        <w:t xml:space="preserve"> </w:t>
      </w:r>
      <w:r>
        <w:t xml:space="preserve">namespace and do not modify the E60–E70 prediction archive: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artifact</w:t>
            </w:r>
          </w:p>
        </w:tc>
        <w:tc>
          <w:tcPr/>
          <w:p>
            <w:pPr>
              <w:pStyle w:val="Compact"/>
              <w:jc w:val="left"/>
            </w:pPr>
            <w:r>
              <w:t xml:space="preserve">path</w:t>
            </w:r>
          </w:p>
        </w:tc>
      </w:tr>
      <w:tr>
        <w:tc>
          <w:tcPr/>
          <w:p>
            <w:pPr>
              <w:pStyle w:val="Compact"/>
              <w:jc w:val="left"/>
            </w:pPr>
            <w:r>
              <w:t xml:space="preserve">Across-seed summary (MAE/RMSE/R² per target, per seed)</w:t>
            </w:r>
          </w:p>
        </w:tc>
        <w:tc>
          <w:tcPr/>
          <w:p>
            <w:pPr>
              <w:pStyle w:val="Compact"/>
              <w:jc w:val="left"/>
            </w:pPr>
            <w:r>
              <w:rPr>
                <w:rStyle w:val="VerbatimChar"/>
              </w:rPr>
              <w:t xml:space="preserve">results/e71_summary.csv</w:t>
            </w:r>
          </w:p>
        </w:tc>
      </w:tr>
      <w:tr>
        <w:tc>
          <w:tcPr/>
          <w:p>
            <w:pPr>
              <w:pStyle w:val="Compact"/>
              <w:jc w:val="left"/>
            </w:pPr>
            <w:r>
              <w:t xml:space="preserve">Per-fold predictions (y_true, y_pred for both C targets, all seeds)</w:t>
            </w:r>
          </w:p>
        </w:tc>
        <w:tc>
          <w:tcPr/>
          <w:p>
            <w:pPr>
              <w:pStyle w:val="Compact"/>
              <w:jc w:val="left"/>
            </w:pPr>
            <w:r>
              <w:rPr>
                <w:rStyle w:val="VerbatimChar"/>
              </w:rPr>
              <w:t xml:space="preserve">results/e71_predictions.json</w:t>
            </w:r>
          </w:p>
        </w:tc>
      </w:tr>
      <w:tr>
        <w:tc>
          <w:tcPr/>
          <w:p>
            <w:pPr>
              <w:pStyle w:val="Compact"/>
              <w:jc w:val="left"/>
            </w:pPr>
            <w:r>
              <w:t xml:space="preserve">Paired statistics vs PC²-FedReorg</w:t>
            </w:r>
          </w:p>
        </w:tc>
        <w:tc>
          <w:tcPr/>
          <w:p>
            <w:pPr>
              <w:pStyle w:val="Compact"/>
              <w:jc w:val="left"/>
            </w:pPr>
            <w:r>
              <w:rPr>
                <w:rStyle w:val="VerbatimChar"/>
              </w:rPr>
              <w:t xml:space="preserve">results/e71_vs_e66_stats.csv</w:t>
            </w:r>
            <w:r>
              <w:t xml:space="preserve"> </w:t>
            </w:r>
            <w:r>
              <w:t xml:space="preserve">and</w:t>
            </w:r>
            <w:r>
              <w:t xml:space="preserve"> </w:t>
            </w:r>
            <w:r>
              <w:rPr>
                <w:rStyle w:val="VerbatimChar"/>
              </w:rPr>
              <w:t xml:space="preserve">.md</w:t>
            </w:r>
          </w:p>
        </w:tc>
      </w:tr>
      <w:tr>
        <w:tc>
          <w:tcPr/>
          <w:p>
            <w:pPr>
              <w:pStyle w:val="Compact"/>
              <w:jc w:val="left"/>
            </w:pPr>
            <w:r>
              <w:t xml:space="preserve">Paired statistics vs FedPer</w:t>
            </w:r>
          </w:p>
        </w:tc>
        <w:tc>
          <w:tcPr/>
          <w:p>
            <w:pPr>
              <w:pStyle w:val="Compact"/>
              <w:jc w:val="left"/>
            </w:pPr>
            <w:r>
              <w:rPr>
                <w:rStyle w:val="VerbatimChar"/>
              </w:rPr>
              <w:t xml:space="preserve">results/e71_vs_e63_stats.md</w:t>
            </w:r>
          </w:p>
        </w:tc>
      </w:tr>
      <w:tr>
        <w:tc>
          <w:tcPr/>
          <w:p>
            <w:pPr>
              <w:pStyle w:val="Compact"/>
              <w:jc w:val="left"/>
            </w:pPr>
            <w:r>
              <w:t xml:space="preserve">Paired statistics vs PC² without calibration</w:t>
            </w:r>
          </w:p>
        </w:tc>
        <w:tc>
          <w:tcPr/>
          <w:p>
            <w:pPr>
              <w:pStyle w:val="Compact"/>
              <w:jc w:val="left"/>
            </w:pPr>
            <w:r>
              <w:rPr>
                <w:rStyle w:val="VerbatimChar"/>
              </w:rPr>
              <w:t xml:space="preserve">results/e71_vs_e70_stats.md</w:t>
            </w:r>
          </w:p>
        </w:tc>
      </w:tr>
      <w:tr>
        <w:tc>
          <w:tcPr/>
          <w:p>
            <w:pPr>
              <w:pStyle w:val="Compact"/>
              <w:jc w:val="left"/>
            </w:pPr>
            <w:r>
              <w:t xml:space="preserve">Training log</w:t>
            </w:r>
          </w:p>
        </w:tc>
        <w:tc>
          <w:tcPr/>
          <w:p>
            <w:pPr>
              <w:pStyle w:val="Compact"/>
              <w:jc w:val="left"/>
            </w:pPr>
            <w:r>
              <w:rPr>
                <w:rStyle w:val="VerbatimChar"/>
              </w:rPr>
              <w:t xml:space="preserve">logs/E71_20260517_2022.log</w:t>
            </w:r>
          </w:p>
        </w:tc>
      </w:tr>
      <w:tr>
        <w:tc>
          <w:tcPr/>
          <w:p>
            <w:pPr>
              <w:pStyle w:val="Compact"/>
              <w:jc w:val="left"/>
            </w:pPr>
            <w:r>
              <w:t xml:space="preserve">Registration</w:t>
            </w:r>
          </w:p>
        </w:tc>
        <w:tc>
          <w:tcPr/>
          <w:p>
            <w:pPr>
              <w:pStyle w:val="Compact"/>
              <w:jc w:val="left"/>
            </w:pPr>
            <w:r>
              <w:rPr>
                <w:rStyle w:val="VerbatimChar"/>
              </w:rPr>
              <w:t xml:space="preserve">experiments/run_all.py</w:t>
            </w:r>
            <w:r>
              <w:t xml:space="preserve"> </w:t>
            </w:r>
            <w:r>
              <w:t xml:space="preserve">(E71 entry, additive only)</w:t>
            </w:r>
          </w:p>
        </w:tc>
      </w:tr>
    </w:tbl>
    <w:p>
      <w:pPr>
        <w:pStyle w:val="BodyText"/>
      </w:pPr>
      <w:r>
        <w:rPr>
          <w:bCs/>
          <w:b/>
        </w:rPr>
        <w:t xml:space="preserve">Across-seed metrics (5-seed mean ± SEM):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target</w:t>
            </w:r>
          </w:p>
        </w:tc>
        <w:tc>
          <w:tcPr/>
          <w:p>
            <w:pPr>
              <w:pStyle w:val="Compact"/>
              <w:jc w:val="left"/>
            </w:pPr>
            <w:r>
              <w:t xml:space="preserve">n</w:t>
            </w:r>
          </w:p>
        </w:tc>
        <w:tc>
          <w:tcPr/>
          <w:p>
            <w:pPr>
              <w:pStyle w:val="Compact"/>
              <w:jc w:val="left"/>
            </w:pPr>
            <w:r>
              <w:t xml:space="preserve">MAE (eV)</w:t>
            </w:r>
          </w:p>
        </w:tc>
        <w:tc>
          <w:tcPr/>
          <w:p>
            <w:pPr>
              <w:pStyle w:val="Compact"/>
              <w:jc w:val="left"/>
            </w:pPr>
            <w:r>
              <w:t xml:space="preserve">RMSE (eV)</w:t>
            </w:r>
          </w:p>
        </w:tc>
        <w:tc>
          <w:tcPr/>
          <w:p>
            <w:pPr>
              <w:pStyle w:val="Compact"/>
              <w:jc w:val="left"/>
            </w:pPr>
            <w:r>
              <w:t xml:space="preserve">R² (auxiliary)</w:t>
            </w:r>
          </w:p>
        </w:tc>
      </w:tr>
      <w:tr>
        <w:tc>
          <w:tcPr/>
          <w:p>
            <w:pPr>
              <w:pStyle w:val="Compact"/>
              <w:jc w:val="left"/>
            </w:pPr>
            <w:r>
              <w:t xml:space="preserve">A 5-fold</w:t>
            </w:r>
          </w:p>
        </w:tc>
        <w:tc>
          <w:tcPr/>
          <w:p>
            <w:pPr>
              <w:pStyle w:val="Compact"/>
              <w:jc w:val="left"/>
            </w:pPr>
            <w:r>
              <w:t xml:space="preserve">6,020</w:t>
            </w:r>
          </w:p>
        </w:tc>
        <w:tc>
          <w:tcPr/>
          <w:p>
            <w:pPr>
              <w:pStyle w:val="Compact"/>
              <w:jc w:val="left"/>
            </w:pPr>
            <w:r>
              <w:t xml:space="preserve">0.1508 ± 0.0006</w:t>
            </w:r>
          </w:p>
        </w:tc>
        <w:tc>
          <w:tcPr/>
          <w:p>
            <w:pPr>
              <w:pStyle w:val="Compact"/>
              <w:jc w:val="left"/>
            </w:pPr>
            <w:r>
              <w:t xml:space="preserve">0.2119 ± 0.0008</w:t>
            </w:r>
          </w:p>
        </w:tc>
        <w:tc>
          <w:tcPr/>
          <w:p>
            <w:pPr>
              <w:pStyle w:val="Compact"/>
              <w:jc w:val="left"/>
            </w:pPr>
            <w:r>
              <w:t xml:space="preserve">+0.747 ± 0.002</w:t>
            </w:r>
          </w:p>
        </w:tc>
      </w:tr>
      <w:tr>
        <w:tc>
          <w:tcPr/>
          <w:p>
            <w:pPr>
              <w:pStyle w:val="Compact"/>
              <w:jc w:val="left"/>
            </w:pPr>
            <w:r>
              <w:t xml:space="preserve">B 5-fold</w:t>
            </w:r>
          </w:p>
        </w:tc>
        <w:tc>
          <w:tcPr/>
          <w:p>
            <w:pPr>
              <w:pStyle w:val="Compact"/>
              <w:jc w:val="left"/>
            </w:pPr>
            <w:r>
              <w:t xml:space="preserve">9,190</w:t>
            </w:r>
          </w:p>
        </w:tc>
        <w:tc>
          <w:tcPr/>
          <w:p>
            <w:pPr>
              <w:pStyle w:val="Compact"/>
              <w:jc w:val="left"/>
            </w:pPr>
            <w:r>
              <w:t xml:space="preserve">0.0824 ± 0.0009</w:t>
            </w:r>
          </w:p>
        </w:tc>
        <w:tc>
          <w:tcPr/>
          <w:p>
            <w:pPr>
              <w:pStyle w:val="Compact"/>
              <w:jc w:val="left"/>
            </w:pPr>
            <w:r>
              <w:t xml:space="preserve">0.1262 ± 0.0009</w:t>
            </w:r>
          </w:p>
        </w:tc>
        <w:tc>
          <w:tcPr/>
          <w:p>
            <w:pPr>
              <w:pStyle w:val="Compact"/>
              <w:jc w:val="left"/>
            </w:pPr>
            <w:r>
              <w:t xml:space="preserve">+0.843 ± 0.002</w:t>
            </w:r>
          </w:p>
        </w:tc>
      </w:tr>
      <w:tr>
        <w:tc>
          <w:tcPr/>
          <w:p>
            <w:pPr>
              <w:pStyle w:val="Compact"/>
              <w:jc w:val="left"/>
            </w:pPr>
            <w:r>
              <w:t xml:space="preserve">C-hole</w:t>
            </w:r>
          </w:p>
        </w:tc>
        <w:tc>
          <w:tcPr/>
          <w:p>
            <w:pPr>
              <w:pStyle w:val="Compact"/>
              <w:jc w:val="left"/>
            </w:pPr>
            <w:r>
              <w:t xml:space="preserve">53 LOOCV</w:t>
            </w:r>
          </w:p>
        </w:tc>
        <w:tc>
          <w:tcPr/>
          <w:p>
            <w:pPr>
              <w:pStyle w:val="Compact"/>
              <w:jc w:val="left"/>
            </w:pPr>
            <w:r>
              <w:t xml:space="preserve">0.3757 ± 0.0029</w:t>
            </w:r>
          </w:p>
        </w:tc>
        <w:tc>
          <w:tcPr/>
          <w:p>
            <w:pPr>
              <w:pStyle w:val="Compact"/>
              <w:jc w:val="left"/>
            </w:pPr>
            <w:r>
              <w:t xml:space="preserve">0.5139 ± 0.0061</w:t>
            </w:r>
          </w:p>
        </w:tc>
        <w:tc>
          <w:tcPr/>
          <w:p>
            <w:pPr>
              <w:pStyle w:val="Compact"/>
              <w:jc w:val="left"/>
            </w:pPr>
            <w:r>
              <w:t xml:space="preserve">−0.074 ± 0.026</w:t>
            </w:r>
          </w:p>
        </w:tc>
      </w:tr>
      <w:tr>
        <w:tc>
          <w:tcPr/>
          <w:p>
            <w:pPr>
              <w:pStyle w:val="Compact"/>
              <w:jc w:val="left"/>
            </w:pPr>
            <w:r>
              <w:t xml:space="preserve">C-triplet</w:t>
            </w:r>
          </w:p>
        </w:tc>
        <w:tc>
          <w:tcPr/>
          <w:p>
            <w:pPr>
              <w:pStyle w:val="Compact"/>
              <w:jc w:val="left"/>
            </w:pPr>
            <w:r>
              <w:t xml:space="preserve">49 LOOCV</w:t>
            </w:r>
          </w:p>
        </w:tc>
        <w:tc>
          <w:tcPr/>
          <w:p>
            <w:pPr>
              <w:pStyle w:val="Compact"/>
              <w:jc w:val="left"/>
            </w:pPr>
            <w:r>
              <w:t xml:space="preserve">0.6527 ± 0.0111</w:t>
            </w:r>
          </w:p>
        </w:tc>
        <w:tc>
          <w:tcPr/>
          <w:p>
            <w:pPr>
              <w:pStyle w:val="Compact"/>
              <w:jc w:val="left"/>
            </w:pPr>
            <w:r>
              <w:t xml:space="preserve">0.8259 ± 0.0116</w:t>
            </w:r>
          </w:p>
        </w:tc>
        <w:tc>
          <w:tcPr/>
          <w:p>
            <w:pPr>
              <w:pStyle w:val="Compact"/>
              <w:jc w:val="left"/>
            </w:pPr>
            <w:r>
              <w:t xml:space="preserve">−0.229 ± 0.034</w:t>
            </w:r>
          </w:p>
        </w:tc>
      </w:tr>
    </w:tbl>
    <w:p>
      <w:pPr>
        <w:pStyle w:val="BodyText"/>
      </w:pPr>
      <w:r>
        <w:rPr>
          <w:bCs/>
          <w:b/>
        </w:rPr>
        <w:t xml:space="preserve">Paired comparisons on C-triplet (median per-molecule abs error across seeds, 5000-resample bootstrap CI):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comparison</w:t>
            </w:r>
          </w:p>
        </w:tc>
        <w:tc>
          <w:tcPr/>
          <w:p>
            <w:pPr>
              <w:pStyle w:val="Compact"/>
              <w:jc w:val="left"/>
            </w:pPr>
            <w:r>
              <w:t xml:space="preserve">ΔMAE (eV)</w:t>
            </w:r>
          </w:p>
        </w:tc>
        <w:tc>
          <w:tcPr/>
          <w:p>
            <w:pPr>
              <w:pStyle w:val="Compact"/>
              <w:jc w:val="left"/>
            </w:pPr>
            <w:r>
              <w:t xml:space="preserve">95 % CI</w:t>
            </w:r>
          </w:p>
        </w:tc>
        <w:tc>
          <w:tcPr/>
          <w:p>
            <w:pPr>
              <w:pStyle w:val="Compact"/>
              <w:jc w:val="left"/>
            </w:pPr>
            <w:r>
              <w:t xml:space="preserve">wins / loses</w:t>
            </w:r>
          </w:p>
        </w:tc>
        <w:tc>
          <w:tcPr/>
          <w:p>
            <w:pPr>
              <w:pStyle w:val="Compact"/>
              <w:jc w:val="left"/>
            </w:pPr>
            <w:r>
              <w:t xml:space="preserve">Wilcoxon p</w:t>
            </w:r>
          </w:p>
        </w:tc>
        <w:tc>
          <w:tcPr/>
          <w:p>
            <w:pPr>
              <w:pStyle w:val="Compact"/>
              <w:jc w:val="left"/>
            </w:pPr>
            <w:r>
              <w:t xml:space="preserve">interpretation</w:t>
            </w:r>
          </w:p>
        </w:tc>
      </w:tr>
      <w:tr>
        <w:tc>
          <w:tcPr/>
          <w:p>
            <w:pPr>
              <w:pStyle w:val="Compact"/>
              <w:jc w:val="left"/>
            </w:pPr>
            <w:r>
              <w:t xml:space="preserve">E71 vs E66 (PC²-FedReorg)</w:t>
            </w:r>
          </w:p>
        </w:tc>
        <w:tc>
          <w:tcPr/>
          <w:p>
            <w:pPr>
              <w:pStyle w:val="Compact"/>
              <w:jc w:val="left"/>
            </w:pPr>
            <w:r>
              <w:t xml:space="preserve">−0.0059</w:t>
            </w:r>
          </w:p>
        </w:tc>
        <w:tc>
          <w:tcPr/>
          <w:p>
            <w:pPr>
              <w:pStyle w:val="Compact"/>
              <w:jc w:val="left"/>
            </w:pPr>
            <w:r>
              <w:t xml:space="preserve">(−0.0437, +0.0293)</w:t>
            </w:r>
          </w:p>
        </w:tc>
        <w:tc>
          <w:tcPr/>
          <w:p>
            <w:pPr>
              <w:pStyle w:val="Compact"/>
              <w:jc w:val="left"/>
            </w:pPr>
            <w:r>
              <w:t xml:space="preserve">23 / 26</w:t>
            </w:r>
          </w:p>
        </w:tc>
        <w:tc>
          <w:tcPr/>
          <w:p>
            <w:pPr>
              <w:pStyle w:val="Compact"/>
              <w:jc w:val="left"/>
            </w:pPr>
            <w:r>
              <w:rPr>
                <w:bCs/>
                <w:b/>
              </w:rPr>
              <w:t xml:space="preserve">0.929</w:t>
            </w:r>
          </w:p>
        </w:tc>
        <w:tc>
          <w:tcPr/>
          <w:p>
            <w:pPr>
              <w:pStyle w:val="Compact"/>
              <w:jc w:val="left"/>
            </w:pPr>
            <w:r>
              <w:t xml:space="preserve">indistinguishable from PC²-FedReorg</w:t>
            </w:r>
          </w:p>
        </w:tc>
      </w:tr>
      <w:tr>
        <w:tc>
          <w:tcPr/>
          <w:p>
            <w:pPr>
              <w:pStyle w:val="Compact"/>
              <w:jc w:val="left"/>
            </w:pPr>
            <w:r>
              <w:t xml:space="preserve">E71 vs E63 (FedPer, no calibration)</w:t>
            </w:r>
          </w:p>
        </w:tc>
        <w:tc>
          <w:tcPr/>
          <w:p>
            <w:pPr>
              <w:pStyle w:val="Compact"/>
              <w:jc w:val="left"/>
            </w:pPr>
            <w:r>
              <w:t xml:space="preserve">−0.1085</w:t>
            </w:r>
          </w:p>
        </w:tc>
        <w:tc>
          <w:tcPr/>
          <w:p>
            <w:pPr>
              <w:pStyle w:val="Compact"/>
              <w:jc w:val="left"/>
            </w:pPr>
            <w:r>
              <w:t xml:space="preserve">(−0.2083, −0.0097)</w:t>
            </w:r>
          </w:p>
        </w:tc>
        <w:tc>
          <w:tcPr/>
          <w:p>
            <w:pPr>
              <w:pStyle w:val="Compact"/>
              <w:jc w:val="left"/>
            </w:pPr>
            <w:r>
              <w:t xml:space="preserve">32 / 17</w:t>
            </w:r>
          </w:p>
        </w:tc>
        <w:tc>
          <w:tcPr/>
          <w:p>
            <w:pPr>
              <w:pStyle w:val="Compact"/>
              <w:jc w:val="left"/>
            </w:pPr>
            <w:r>
              <w:rPr>
                <w:bCs/>
                <w:b/>
              </w:rPr>
              <w:t xml:space="preserve">0.028</w:t>
            </w:r>
          </w:p>
        </w:tc>
        <w:tc>
          <w:tcPr/>
          <w:p>
            <w:pPr>
              <w:pStyle w:val="Compact"/>
              <w:jc w:val="left"/>
            </w:pPr>
            <w:r>
              <w:t xml:space="preserve">nominal improvement over plain FedPer</w:t>
            </w:r>
          </w:p>
        </w:tc>
      </w:tr>
      <w:tr>
        <w:tc>
          <w:tcPr/>
          <w:p>
            <w:pPr>
              <w:pStyle w:val="Compact"/>
              <w:jc w:val="left"/>
            </w:pPr>
            <w:r>
              <w:t xml:space="preserve">E71 vs E70 (PC² without calibration)</w:t>
            </w:r>
          </w:p>
        </w:tc>
        <w:tc>
          <w:tcPr/>
          <w:p>
            <w:pPr>
              <w:pStyle w:val="Compact"/>
              <w:jc w:val="left"/>
            </w:pPr>
            <w:r>
              <w:t xml:space="preserve">−0.1249</w:t>
            </w:r>
          </w:p>
        </w:tc>
        <w:tc>
          <w:tcPr/>
          <w:p>
            <w:pPr>
              <w:pStyle w:val="Compact"/>
              <w:jc w:val="left"/>
            </w:pPr>
            <w:r>
              <w:t xml:space="preserve">(−0.2242, −0.0272)</w:t>
            </w:r>
          </w:p>
        </w:tc>
        <w:tc>
          <w:tcPr/>
          <w:p>
            <w:pPr>
              <w:pStyle w:val="Compact"/>
              <w:jc w:val="left"/>
            </w:pPr>
            <w:r>
              <w:t xml:space="preserve">33 / 16</w:t>
            </w:r>
          </w:p>
        </w:tc>
        <w:tc>
          <w:tcPr/>
          <w:p>
            <w:pPr>
              <w:pStyle w:val="Compact"/>
              <w:jc w:val="left"/>
            </w:pPr>
            <w:r>
              <w:rPr>
                <w:bCs/>
                <w:b/>
              </w:rPr>
              <w:t xml:space="preserve">0.021</w:t>
            </w:r>
          </w:p>
        </w:tc>
        <w:tc>
          <w:tcPr/>
          <w:p>
            <w:pPr>
              <w:pStyle w:val="Compact"/>
              <w:jc w:val="left"/>
            </w:pPr>
            <w:r>
              <w:t xml:space="preserve">calibration is more load-bearing than adapter + gate</w:t>
            </w:r>
          </w:p>
        </w:tc>
      </w:tr>
    </w:tbl>
    <w:p>
      <w:pPr>
        <w:pStyle w:val="BodyText"/>
      </w:pPr>
      <w:r>
        <w:rPr>
          <w:bCs/>
          <w:b/>
        </w:rPr>
        <w:t xml:space="preserve">Paired comparisons on C-hole (all non-significant):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ΔMAE (eV)</w:t>
            </w:r>
          </w:p>
        </w:tc>
        <w:tc>
          <w:tcPr/>
          <w:p>
            <w:pPr>
              <w:pStyle w:val="Compact"/>
              <w:jc w:val="left"/>
            </w:pPr>
            <w:r>
              <w:t xml:space="preserve">95 % CI</w:t>
            </w:r>
          </w:p>
        </w:tc>
        <w:tc>
          <w:tcPr/>
          <w:p>
            <w:pPr>
              <w:pStyle w:val="Compact"/>
              <w:jc w:val="left"/>
            </w:pPr>
            <w:r>
              <w:t xml:space="preserve">Wilcoxon p</w:t>
            </w:r>
          </w:p>
        </w:tc>
      </w:tr>
      <w:tr>
        <w:tc>
          <w:tcPr/>
          <w:p>
            <w:pPr>
              <w:pStyle w:val="Compact"/>
              <w:jc w:val="left"/>
            </w:pPr>
            <w:r>
              <w:t xml:space="preserve">E71 vs E66</w:t>
            </w:r>
          </w:p>
        </w:tc>
        <w:tc>
          <w:tcPr/>
          <w:p>
            <w:pPr>
              <w:pStyle w:val="Compact"/>
              <w:jc w:val="left"/>
            </w:pPr>
            <w:r>
              <w:t xml:space="preserve">−0.0084</w:t>
            </w:r>
          </w:p>
        </w:tc>
        <w:tc>
          <w:tcPr/>
          <w:p>
            <w:pPr>
              <w:pStyle w:val="Compact"/>
              <w:jc w:val="left"/>
            </w:pPr>
            <w:r>
              <w:t xml:space="preserve">(−0.0264, +0.0093)</w:t>
            </w:r>
          </w:p>
        </w:tc>
        <w:tc>
          <w:tcPr/>
          <w:p>
            <w:pPr>
              <w:pStyle w:val="Compact"/>
              <w:jc w:val="left"/>
            </w:pPr>
            <w:r>
              <w:t xml:space="preserve">0.423</w:t>
            </w:r>
          </w:p>
        </w:tc>
      </w:tr>
      <w:tr>
        <w:tc>
          <w:tcPr/>
          <w:p>
            <w:pPr>
              <w:pStyle w:val="Compact"/>
              <w:jc w:val="left"/>
            </w:pPr>
            <w:r>
              <w:t xml:space="preserve">E71 vs E63</w:t>
            </w:r>
          </w:p>
        </w:tc>
        <w:tc>
          <w:tcPr/>
          <w:p>
            <w:pPr>
              <w:pStyle w:val="Compact"/>
              <w:jc w:val="left"/>
            </w:pPr>
            <w:r>
              <w:t xml:space="preserve">+0.0054</w:t>
            </w:r>
          </w:p>
        </w:tc>
        <w:tc>
          <w:tcPr/>
          <w:p>
            <w:pPr>
              <w:pStyle w:val="Compact"/>
              <w:jc w:val="left"/>
            </w:pPr>
            <w:r>
              <w:t xml:space="preserve">(−0.0271, +0.0391)</w:t>
            </w:r>
          </w:p>
        </w:tc>
        <w:tc>
          <w:tcPr/>
          <w:p>
            <w:pPr>
              <w:pStyle w:val="Compact"/>
              <w:jc w:val="left"/>
            </w:pPr>
            <w:r>
              <w:t xml:space="preserve">0.598</w:t>
            </w:r>
          </w:p>
        </w:tc>
      </w:tr>
      <w:tr>
        <w:tc>
          <w:tcPr/>
          <w:p>
            <w:pPr>
              <w:pStyle w:val="Compact"/>
              <w:jc w:val="left"/>
            </w:pPr>
            <w:r>
              <w:t xml:space="preserve">E71 vs E70</w:t>
            </w:r>
          </w:p>
        </w:tc>
        <w:tc>
          <w:tcPr/>
          <w:p>
            <w:pPr>
              <w:pStyle w:val="Compact"/>
              <w:jc w:val="left"/>
            </w:pPr>
            <w:r>
              <w:t xml:space="preserve">−0.0036</w:t>
            </w:r>
          </w:p>
        </w:tc>
        <w:tc>
          <w:tcPr/>
          <w:p>
            <w:pPr>
              <w:pStyle w:val="Compact"/>
              <w:jc w:val="left"/>
            </w:pPr>
            <w:r>
              <w:t xml:space="preserve">(−0.0398, +0.0331)</w:t>
            </w:r>
          </w:p>
        </w:tc>
        <w:tc>
          <w:tcPr/>
          <w:p>
            <w:pPr>
              <w:pStyle w:val="Compact"/>
              <w:jc w:val="left"/>
            </w:pPr>
            <w:r>
              <w:t xml:space="preserve">0.842</w:t>
            </w:r>
          </w:p>
        </w:tc>
      </w:tr>
    </w:tbl>
    <w:p>
      <w:pPr>
        <w:pStyle w:val="BodyText"/>
      </w:pPr>
      <w:r>
        <w:rPr>
          <w:bCs/>
          <w:b/>
        </w:rPr>
        <w:t xml:space="preserve">Interpretation.</w:t>
      </w:r>
      <w:r>
        <w:t xml:space="preserve"> </w:t>
      </w:r>
      <w:r>
        <w:t xml:space="preserve">Three paired comparisons jointly support the calibration-is-sufficient reading on C-triplet: (i) E71 ≈ E66 within seed-SEM with a bootstrap CI that straddles zero and balanced per-molecule sign counts; (ii) E71 &lt; E63 by an effect size matching PC² vs. FedPer in §4.3; (iii) E71 &lt; E70 by an effect size matching PC² vs. its no-calibration ablation in §S7.2. C-hole remains at its small-sample data ceiling for all methods (all three E71 paired tests return p ≥ 0.42 with CIs that straddle zero), consistent with §4.3 and §S2.2.</w:t>
      </w:r>
    </w:p>
    <w:p>
      <w:pPr>
        <w:pStyle w:val="BodyText"/>
      </w:pPr>
      <w:r>
        <w:rPr>
          <w:bCs/>
          <w:b/>
        </w:rPr>
        <w:t xml:space="preserve">Reproducibility command.</w:t>
      </w:r>
      <w:r>
        <w:t xml:space="preserve"> </w:t>
      </w:r>
      <w:r>
        <w:t xml:space="preserve">From the project root, with the H-CAAN conda environment activated:</w:t>
      </w:r>
    </w:p>
    <w:p>
      <w:pPr>
        <w:pStyle w:val="SourceCode"/>
      </w:pPr>
      <w:r>
        <w:rPr>
          <w:rStyle w:val="ExtensionTok"/>
        </w:rPr>
        <w:t xml:space="preserve">tmux</w:t>
      </w:r>
      <w:r>
        <w:rPr>
          <w:rStyle w:val="NormalTok"/>
        </w:rPr>
        <w:t xml:space="preserve"> new </w:t>
      </w:r>
      <w:r>
        <w:rPr>
          <w:rStyle w:val="AttributeTok"/>
        </w:rPr>
        <w:t xml:space="preserve">-s</w:t>
      </w:r>
      <w:r>
        <w:rPr>
          <w:rStyle w:val="NormalTok"/>
        </w:rPr>
        <w:t xml:space="preserve"> e71</w:t>
      </w:r>
      <w:r>
        <w:br/>
      </w:r>
      <w:r>
        <w:rPr>
          <w:rStyle w:val="FunctionTok"/>
        </w:rPr>
        <w:t xml:space="preserve">nohup</w:t>
      </w:r>
      <w:r>
        <w:rPr>
          <w:rStyle w:val="NormalTok"/>
        </w:rPr>
        <w:t xml:space="preserve"> python experiments/run_e71_multiseed.py </w:t>
      </w:r>
      <w:r>
        <w:rPr>
          <w:rStyle w:val="DataTypeTok"/>
        </w:rPr>
        <w:t xml:space="preserve">\</w:t>
      </w:r>
      <w:r>
        <w:br/>
      </w:r>
      <w:r>
        <w:rPr>
          <w:rStyle w:val="NormalTok"/>
        </w:rPr>
        <w:t xml:space="preserve">    </w:t>
      </w:r>
      <w:r>
        <w:rPr>
          <w:rStyle w:val="OperatorTok"/>
        </w:rPr>
        <w:t xml:space="preserve">&gt;</w:t>
      </w:r>
      <w:r>
        <w:rPr>
          <w:rStyle w:val="NormalTok"/>
        </w:rPr>
        <w:t xml:space="preserve"> logs/E71_</w:t>
      </w:r>
      <w:r>
        <w:rPr>
          <w:rStyle w:val="VariableTok"/>
        </w:rPr>
        <w:t xml:space="preserve">$(</w:t>
      </w:r>
      <w:r>
        <w:rPr>
          <w:rStyle w:val="FunctionTok"/>
        </w:rPr>
        <w:t xml:space="preserve">date</w:t>
      </w:r>
      <w:r>
        <w:rPr>
          <w:rStyle w:val="NormalTok"/>
        </w:rPr>
        <w:t xml:space="preserve"> +%Y%m%d_%H%M</w:t>
      </w:r>
      <w:r>
        <w:rPr>
          <w:rStyle w:val="VariableTok"/>
        </w:rPr>
        <w:t xml:space="preserve">)</w:t>
      </w:r>
      <w:r>
        <w:rPr>
          <w:rStyle w:val="NormalTok"/>
        </w:rPr>
        <w:t xml:space="preserve">.log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rPr>
          <w:rStyle w:val="CommentTok"/>
        </w:rPr>
        <w:t xml:space="preserve"># Ctrl-b d to detach; estimated wall clock ≈ 2.5 h on dual A30.</w:t>
      </w:r>
      <w:r>
        <w:br/>
      </w:r>
      <w:r>
        <w:rPr>
          <w:rStyle w:val="ExtensionTok"/>
        </w:rPr>
        <w:t xml:space="preserve">python</w:t>
      </w:r>
      <w:r>
        <w:rPr>
          <w:rStyle w:val="NormalTok"/>
        </w:rPr>
        <w:t xml:space="preserve"> experiments/compute_e71_stats.py     </w:t>
      </w:r>
      <w:r>
        <w:rPr>
          <w:rStyle w:val="CommentTok"/>
        </w:rPr>
        <w:t xml:space="preserve"># writes results/e71_vs_*.md/.csv</w:t>
      </w:r>
    </w:p>
    <w:p>
      <w:pPr>
        <w:pStyle w:val="FirstParagraph"/>
      </w:pPr>
      <w:r>
        <w:rPr>
          <w:bCs/>
          <w:b/>
        </w:rPr>
        <w:t xml:space="preserve">Statistical caveat.</w:t>
      </w:r>
      <w:r>
        <w:t xml:space="preserve"> </w:t>
      </w:r>
      <w:r>
        <w:t xml:space="preserve">The paired Wilcoxon p-values above are unadjusted nominal values; the Bonferroni threshold for the three E71 contrasts is α/3 ≈ 0.017, which neither of the two effect-bearing comparisons crosses. We therefore treat effect size, bootstrap CI direction and per-molecule sign counts as primary evidence and the nominal p-values as supportive but not definitive. The chemically meaningful effect size for organic-electronics screening is ±0.1 eV (typical conformer-averaging noise on ωB97X-D reorganization energies); both the E71-vs-FedPer and E71-vs-no-calibration ΔMAEs sit at this scale and should be re-evaluated on a larger TADF dataset before being treated as deployment-ready.</w:t>
      </w:r>
    </w:p>
    <w:p>
      <w:r>
        <w:pict>
          <v:rect style="width:0;height:1.5pt" o:hralign="center" o:hrstd="t" o:hr="t"/>
        </w:pict>
      </w:r>
    </w:p>
    <w:bookmarkEnd w:id="61"/>
    <w:bookmarkEnd w:id="62"/>
    <w:bookmarkStart w:id="66" w:name="s8.-per-molecule-prediction-artefacts"/>
    <w:p>
      <w:pPr>
        <w:pStyle w:val="Heading2"/>
      </w:pPr>
      <w:r>
        <w:t xml:space="preserve">S8. Per-molecule prediction artefacts</w:t>
      </w:r>
    </w:p>
    <w:bookmarkStart w:id="63" w:name="s8.1-released-files"/>
    <w:p>
      <w:pPr>
        <w:pStyle w:val="Heading3"/>
      </w:pPr>
      <w:r>
        <w:t xml:space="preserve">S8.1 Released files</w:t>
      </w:r>
    </w:p>
    <w:p>
      <w:pPr>
        <w:pStyle w:val="FirstParagraph"/>
      </w:pPr>
      <w:r>
        <w:t xml:space="preserve">For every (method, seed, target) cell, the y_true and y_pred vectors are released:</w:t>
      </w:r>
    </w:p>
    <w:p>
      <w:pPr>
        <w:numPr>
          <w:ilvl w:val="0"/>
          <w:numId w:val="1017"/>
        </w:numPr>
        <w:pStyle w:val="Compact"/>
      </w:pPr>
      <w:r>
        <w:rPr>
          <w:rStyle w:val="VerbatimChar"/>
        </w:rPr>
        <w:t xml:space="preserve">results/pc2_batch1_multiseed_predictions.json</w:t>
      </w:r>
      <w:r>
        <w:t xml:space="preserve"> </w:t>
      </w:r>
      <w:r>
        <w:t xml:space="preserve">— E60, E61, E62, E63, E66 on both C targets.</w:t>
      </w:r>
    </w:p>
    <w:p>
      <w:pPr>
        <w:numPr>
          <w:ilvl w:val="0"/>
          <w:numId w:val="1017"/>
        </w:numPr>
        <w:pStyle w:val="Compact"/>
      </w:pPr>
      <w:r>
        <w:rPr>
          <w:rStyle w:val="VerbatimChar"/>
        </w:rPr>
        <w:t xml:space="preserve">results/pc2_phase5_ablation_predictions.json</w:t>
      </w:r>
      <w:r>
        <w:t xml:space="preserve"> </w:t>
      </w:r>
      <w:r>
        <w:t xml:space="preserve">— E65, E68, E69, E70 on both C targets.</w:t>
      </w:r>
    </w:p>
    <w:p>
      <w:pPr>
        <w:numPr>
          <w:ilvl w:val="0"/>
          <w:numId w:val="1017"/>
        </w:numPr>
        <w:pStyle w:val="Compact"/>
      </w:pPr>
      <w:r>
        <w:rPr>
          <w:rStyle w:val="VerbatimChar"/>
        </w:rPr>
        <w:t xml:space="preserve">results/e71_predictions.json</w:t>
      </w:r>
      <w:r>
        <w:t xml:space="preserve"> </w:t>
      </w:r>
      <w:r>
        <w:t xml:space="preserve">— E71 (FedPer + calibration only, the §S7.7 positive control) on both C targets.</w:t>
      </w:r>
    </w:p>
    <w:p>
      <w:pPr>
        <w:pStyle w:val="FirstParagraph"/>
      </w:pPr>
      <w:r>
        <w:t xml:space="preserve">Aggregating absolute errors as the median across seeds yields the per-method per-molecule error vectors used for all paired analyses.</w:t>
      </w:r>
    </w:p>
    <w:bookmarkEnd w:id="63"/>
    <w:bookmarkStart w:id="64" w:name="X86b363498480734d9ab9f258e115e6089fb38a1"/>
    <w:p>
      <w:pPr>
        <w:pStyle w:val="Heading3"/>
      </w:pPr>
      <w:r>
        <w:t xml:space="preserve">S8.2 Top improved / degraded cases (C-triplet)</w:t>
      </w:r>
    </w:p>
    <w:p>
      <w:pPr>
        <w:pStyle w:val="FirstParagraph"/>
      </w:pPr>
      <w:r>
        <w:t xml:space="preserve">The six C-triplet cases shown in Figure S1 (this Supporting Information) — three most-improved and three most-degraded by PC² versus FedAvg — were selected programmatically by sorting molecules on ΔMAE = |error|_PC² − |error|_FedAvg. The corresponding SMILES and per-method absolute errors are summarized below.</w:t>
      </w:r>
    </w:p>
    <w:p>
      <w:pPr>
        <w:pStyle w:val="BodyText"/>
      </w:pPr>
      <w:r>
        <w:rPr>
          <w:bCs/>
          <w:b/>
        </w:rPr>
        <w:t xml:space="preserve">Most-improved (Δ|err| &lt; 0; PC² better):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idx</w:t>
            </w:r>
          </w:p>
        </w:tc>
        <w:tc>
          <w:tcPr/>
          <w:p>
            <w:pPr>
              <w:pStyle w:val="Compact"/>
              <w:jc w:val="left"/>
            </w:pPr>
            <w:r>
              <w:t xml:space="preserve">SMILES</w:t>
            </w:r>
          </w:p>
        </w:tc>
        <w:tc>
          <w:tcPr/>
          <w:p>
            <w:pPr>
              <w:pStyle w:val="Compact"/>
              <w:jc w:val="left"/>
            </w:pPr>
            <w:r>
              <w:t xml:space="preserve">true λ_T (eV)</w:t>
            </w:r>
          </w:p>
        </w:tc>
        <w:tc>
          <w:tcPr/>
          <w:p>
            <w:pPr>
              <w:pStyle w:val="Compact"/>
            </w:pPr>
          </w:p>
        </w:tc>
        <w:tc>
          <w:tcPr/>
          <w:p>
            <w:pPr>
              <w:pStyle w:val="Compact"/>
              <w:jc w:val="left"/>
            </w:pPr>
            <w:r>
              <w:t xml:space="preserve">err</w:t>
            </w:r>
          </w:p>
        </w:tc>
        <w:tc>
          <w:tcPr/>
          <w:p>
            <w:pPr>
              <w:pStyle w:val="Compact"/>
              <w:jc w:val="left"/>
            </w:pPr>
            <w:r>
              <w:t xml:space="preserve">FedAvg</w:t>
            </w:r>
          </w:p>
        </w:tc>
      </w:tr>
      <w:tr>
        <w:tc>
          <w:tcPr/>
          <w:p>
            <w:pPr>
              <w:pStyle w:val="Compact"/>
              <w:jc w:val="left"/>
            </w:pPr>
            <w:r>
              <w:t xml:space="preserve">35</w:t>
            </w:r>
          </w:p>
        </w:tc>
        <w:tc>
          <w:tcPr/>
          <w:p>
            <w:pPr>
              <w:pStyle w:val="Compact"/>
              <w:jc w:val="left"/>
            </w:pPr>
            <w:r>
              <w:rPr>
                <w:rStyle w:val="VerbatimChar"/>
              </w:rPr>
              <w:t xml:space="preserve">ClC1=C(Cl)C(=C2C(c3ccccc3)=C2c2ccccc2)C(Cl)=C1Cl</w:t>
            </w:r>
          </w:p>
        </w:tc>
        <w:tc>
          <w:tcPr/>
          <w:p>
            <w:pPr>
              <w:pStyle w:val="Compact"/>
              <w:jc w:val="left"/>
            </w:pPr>
            <w:r>
              <w:t xml:space="preserve">1.133</w:t>
            </w:r>
          </w:p>
        </w:tc>
        <w:tc>
          <w:tcPr/>
          <w:p>
            <w:pPr>
              <w:pStyle w:val="Compact"/>
              <w:jc w:val="left"/>
            </w:pPr>
            <w:r>
              <w:t xml:space="preserve">3.055</w:t>
            </w:r>
          </w:p>
        </w:tc>
        <w:tc>
          <w:tcPr/>
          <w:p>
            <w:pPr>
              <w:pStyle w:val="Compact"/>
              <w:jc w:val="left"/>
            </w:pPr>
            <w:r>
              <w:t xml:space="preserve">1.701</w:t>
            </w:r>
          </w:p>
        </w:tc>
        <w:tc>
          <w:tcPr/>
          <w:p>
            <w:pPr>
              <w:pStyle w:val="Compact"/>
              <w:jc w:val="left"/>
            </w:pPr>
            <w:r>
              <w:t xml:space="preserve">−1.354</w:t>
            </w:r>
          </w:p>
        </w:tc>
      </w:tr>
      <w:tr>
        <w:tc>
          <w:tcPr/>
          <w:p>
            <w:pPr>
              <w:pStyle w:val="Compact"/>
              <w:jc w:val="left"/>
            </w:pPr>
            <w:r>
              <w:t xml:space="preserve">36</w:t>
            </w:r>
          </w:p>
        </w:tc>
        <w:tc>
          <w:tcPr/>
          <w:p>
            <w:pPr>
              <w:pStyle w:val="Compact"/>
              <w:jc w:val="left"/>
            </w:pPr>
            <w:r>
              <w:rPr>
                <w:rStyle w:val="VerbatimChar"/>
              </w:rPr>
              <w:t xml:space="preserve">C1=CC(=C2C=C2)C=C1</w:t>
            </w:r>
          </w:p>
        </w:tc>
        <w:tc>
          <w:tcPr/>
          <w:p>
            <w:pPr>
              <w:pStyle w:val="Compact"/>
              <w:jc w:val="left"/>
            </w:pPr>
            <w:r>
              <w:t xml:space="preserve">3.265</w:t>
            </w:r>
          </w:p>
        </w:tc>
        <w:tc>
          <w:tcPr/>
          <w:p>
            <w:pPr>
              <w:pStyle w:val="Compact"/>
              <w:jc w:val="left"/>
            </w:pPr>
            <w:r>
              <w:t xml:space="preserve">1.622</w:t>
            </w:r>
          </w:p>
        </w:tc>
        <w:tc>
          <w:tcPr/>
          <w:p>
            <w:pPr>
              <w:pStyle w:val="Compact"/>
              <w:jc w:val="left"/>
            </w:pPr>
            <w:r>
              <w:t xml:space="preserve">0.770</w:t>
            </w:r>
          </w:p>
        </w:tc>
        <w:tc>
          <w:tcPr/>
          <w:p>
            <w:pPr>
              <w:pStyle w:val="Compact"/>
              <w:jc w:val="left"/>
            </w:pPr>
            <w:r>
              <w:t xml:space="preserve">−0.852</w:t>
            </w:r>
          </w:p>
        </w:tc>
      </w:tr>
      <w:tr>
        <w:tc>
          <w:tcPr/>
          <w:p>
            <w:pPr>
              <w:pStyle w:val="Compact"/>
              <w:jc w:val="left"/>
            </w:pPr>
            <w:r>
              <w:t xml:space="preserve">4</w:t>
            </w:r>
          </w:p>
        </w:tc>
        <w:tc>
          <w:tcPr/>
          <w:p>
            <w:pPr>
              <w:pStyle w:val="Compact"/>
              <w:jc w:val="left"/>
            </w:pPr>
            <w:r>
              <w:rPr>
                <w:rStyle w:val="VerbatimChar"/>
              </w:rPr>
              <w:t xml:space="preserve">BC1=CC(=C2C=C2)C=C1B</w:t>
            </w:r>
          </w:p>
        </w:tc>
        <w:tc>
          <w:tcPr/>
          <w:p>
            <w:pPr>
              <w:pStyle w:val="Compact"/>
              <w:jc w:val="left"/>
            </w:pPr>
            <w:r>
              <w:t xml:space="preserve">3.431</w:t>
            </w:r>
          </w:p>
        </w:tc>
        <w:tc>
          <w:tcPr/>
          <w:p>
            <w:pPr>
              <w:pStyle w:val="Compact"/>
              <w:jc w:val="left"/>
            </w:pPr>
            <w:r>
              <w:t xml:space="preserve">1.396</w:t>
            </w:r>
          </w:p>
        </w:tc>
        <w:tc>
          <w:tcPr/>
          <w:p>
            <w:pPr>
              <w:pStyle w:val="Compact"/>
              <w:jc w:val="left"/>
            </w:pPr>
            <w:r>
              <w:t xml:space="preserve">0.667</w:t>
            </w:r>
          </w:p>
        </w:tc>
        <w:tc>
          <w:tcPr/>
          <w:p>
            <w:pPr>
              <w:pStyle w:val="Compact"/>
              <w:jc w:val="left"/>
            </w:pPr>
            <w:r>
              <w:t xml:space="preserve">−0.729</w:t>
            </w:r>
          </w:p>
        </w:tc>
      </w:tr>
    </w:tbl>
    <w:p>
      <w:pPr>
        <w:pStyle w:val="BodyText"/>
      </w:pPr>
      <w:r>
        <w:rPr>
          <w:bCs/>
          <w:b/>
        </w:rPr>
        <w:t xml:space="preserve">Most-degraded (Δ|err| &gt; 0; PC² worse):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idx</w:t>
            </w:r>
          </w:p>
        </w:tc>
        <w:tc>
          <w:tcPr/>
          <w:p>
            <w:pPr>
              <w:pStyle w:val="Compact"/>
              <w:jc w:val="left"/>
            </w:pPr>
            <w:r>
              <w:t xml:space="preserve">SMILES</w:t>
            </w:r>
          </w:p>
        </w:tc>
        <w:tc>
          <w:tcPr/>
          <w:p>
            <w:pPr>
              <w:pStyle w:val="Compact"/>
              <w:jc w:val="left"/>
            </w:pPr>
            <w:r>
              <w:t xml:space="preserve">true λ_T (eV)</w:t>
            </w:r>
          </w:p>
        </w:tc>
        <w:tc>
          <w:tcPr/>
          <w:p>
            <w:pPr>
              <w:pStyle w:val="Compact"/>
            </w:pPr>
          </w:p>
        </w:tc>
        <w:tc>
          <w:tcPr/>
          <w:p>
            <w:pPr>
              <w:pStyle w:val="Compact"/>
              <w:jc w:val="left"/>
            </w:pPr>
            <w:r>
              <w:t xml:space="preserve">err</w:t>
            </w:r>
          </w:p>
        </w:tc>
        <w:tc>
          <w:tcPr/>
          <w:p>
            <w:pPr>
              <w:pStyle w:val="Compact"/>
              <w:jc w:val="left"/>
            </w:pPr>
            <w:r>
              <w:t xml:space="preserve">FedAvg</w:t>
            </w:r>
          </w:p>
        </w:tc>
      </w:tr>
      <w:tr>
        <w:tc>
          <w:tcPr/>
          <w:p>
            <w:pPr>
              <w:pStyle w:val="Compact"/>
              <w:jc w:val="left"/>
            </w:pPr>
            <w:r>
              <w:t xml:space="preserve">20</w:t>
            </w:r>
          </w:p>
        </w:tc>
        <w:tc>
          <w:tcPr/>
          <w:p>
            <w:pPr>
              <w:pStyle w:val="Compact"/>
              <w:jc w:val="left"/>
            </w:pPr>
            <w:r>
              <w:rPr>
                <w:rStyle w:val="VerbatimChar"/>
              </w:rPr>
              <w:t xml:space="preserve">CN(C)C1=CC=C(N(C)C)C1=C1C(N=[N-])=C1[N+]#N</w:t>
            </w:r>
          </w:p>
        </w:tc>
        <w:tc>
          <w:tcPr/>
          <w:p>
            <w:pPr>
              <w:pStyle w:val="Compact"/>
              <w:jc w:val="left"/>
            </w:pPr>
            <w:r>
              <w:t xml:space="preserve">3.164</w:t>
            </w:r>
          </w:p>
        </w:tc>
        <w:tc>
          <w:tcPr/>
          <w:p>
            <w:pPr>
              <w:pStyle w:val="Compact"/>
              <w:jc w:val="left"/>
            </w:pPr>
            <w:r>
              <w:t xml:space="preserve">0.217</w:t>
            </w:r>
          </w:p>
        </w:tc>
        <w:tc>
          <w:tcPr/>
          <w:p>
            <w:pPr>
              <w:pStyle w:val="Compact"/>
              <w:jc w:val="left"/>
            </w:pPr>
            <w:r>
              <w:t xml:space="preserve">1.088</w:t>
            </w:r>
          </w:p>
        </w:tc>
        <w:tc>
          <w:tcPr/>
          <w:p>
            <w:pPr>
              <w:pStyle w:val="Compact"/>
              <w:jc w:val="left"/>
            </w:pPr>
            <w:r>
              <w:t xml:space="preserve">+0.871</w:t>
            </w:r>
          </w:p>
        </w:tc>
      </w:tr>
      <w:tr>
        <w:tc>
          <w:tcPr/>
          <w:p>
            <w:pPr>
              <w:pStyle w:val="Compact"/>
              <w:jc w:val="left"/>
            </w:pPr>
            <w:r>
              <w:t xml:space="preserve">47</w:t>
            </w:r>
          </w:p>
        </w:tc>
        <w:tc>
          <w:tcPr/>
          <w:p>
            <w:pPr>
              <w:pStyle w:val="Compact"/>
              <w:jc w:val="left"/>
            </w:pPr>
            <w:r>
              <w:rPr>
                <w:rStyle w:val="VerbatimChar"/>
              </w:rPr>
              <w:t xml:space="preserve">C1=CC=CC(=C2C=CC=C2)C=C1</w:t>
            </w:r>
          </w:p>
        </w:tc>
        <w:tc>
          <w:tcPr/>
          <w:p>
            <w:pPr>
              <w:pStyle w:val="Compact"/>
              <w:jc w:val="left"/>
            </w:pPr>
            <w:r>
              <w:t xml:space="preserve">1.113</w:t>
            </w:r>
          </w:p>
        </w:tc>
        <w:tc>
          <w:tcPr/>
          <w:p>
            <w:pPr>
              <w:pStyle w:val="Compact"/>
              <w:jc w:val="left"/>
            </w:pPr>
            <w:r>
              <w:t xml:space="preserve">0.927</w:t>
            </w:r>
          </w:p>
        </w:tc>
        <w:tc>
          <w:tcPr/>
          <w:p>
            <w:pPr>
              <w:pStyle w:val="Compact"/>
              <w:jc w:val="left"/>
            </w:pPr>
            <w:r>
              <w:t xml:space="preserve">1.637</w:t>
            </w:r>
          </w:p>
        </w:tc>
        <w:tc>
          <w:tcPr/>
          <w:p>
            <w:pPr>
              <w:pStyle w:val="Compact"/>
              <w:jc w:val="left"/>
            </w:pPr>
            <w:r>
              <w:t xml:space="preserve">+0.710</w:t>
            </w:r>
          </w:p>
        </w:tc>
      </w:tr>
      <w:tr>
        <w:tc>
          <w:tcPr/>
          <w:p>
            <w:pPr>
              <w:pStyle w:val="Compact"/>
              <w:jc w:val="left"/>
            </w:pPr>
            <w:r>
              <w:t xml:space="preserve">30</w:t>
            </w:r>
          </w:p>
        </w:tc>
        <w:tc>
          <w:tcPr/>
          <w:p>
            <w:pPr>
              <w:pStyle w:val="Compact"/>
              <w:jc w:val="left"/>
            </w:pPr>
            <w:r>
              <w:rPr>
                <w:rStyle w:val="VerbatimChar"/>
              </w:rPr>
              <w:t xml:space="preserve">OC1=CC=C(O)C1=C1C=C1</w:t>
            </w:r>
          </w:p>
        </w:tc>
        <w:tc>
          <w:tcPr/>
          <w:p>
            <w:pPr>
              <w:pStyle w:val="Compact"/>
              <w:jc w:val="left"/>
            </w:pPr>
            <w:r>
              <w:t xml:space="preserve">2.106</w:t>
            </w:r>
          </w:p>
        </w:tc>
        <w:tc>
          <w:tcPr/>
          <w:p>
            <w:pPr>
              <w:pStyle w:val="Compact"/>
              <w:jc w:val="left"/>
            </w:pPr>
            <w:r>
              <w:t xml:space="preserve">0.064</w:t>
            </w:r>
          </w:p>
        </w:tc>
        <w:tc>
          <w:tcPr/>
          <w:p>
            <w:pPr>
              <w:pStyle w:val="Compact"/>
              <w:jc w:val="left"/>
            </w:pPr>
            <w:r>
              <w:t xml:space="preserve">0.707</w:t>
            </w:r>
          </w:p>
        </w:tc>
        <w:tc>
          <w:tcPr/>
          <w:p>
            <w:pPr>
              <w:pStyle w:val="Compact"/>
              <w:jc w:val="left"/>
            </w:pPr>
            <w:r>
              <w:t xml:space="preserve">+0.643</w:t>
            </w:r>
          </w:p>
        </w:tc>
      </w:tr>
    </w:tbl>
    <w:bookmarkEnd w:id="64"/>
    <w:bookmarkStart w:id="65" w:name="s8.3-disclaimer"/>
    <w:p>
      <w:pPr>
        <w:pStyle w:val="Heading3"/>
      </w:pPr>
      <w:r>
        <w:t xml:space="preserve">S8.3 Disclaimer</w:t>
      </w:r>
    </w:p>
    <w:p>
      <w:pPr>
        <w:pStyle w:val="FirstParagraph"/>
      </w:pPr>
      <w:r>
        <w:t xml:space="preserve">The per-molecule ordering is</w:t>
      </w:r>
      <w:r>
        <w:t xml:space="preserve"> </w:t>
      </w:r>
      <w:r>
        <w:rPr>
          <w:iCs/>
          <w:i/>
        </w:rPr>
        <w:t xml:space="preserve">qualitative</w:t>
      </w:r>
      <w:r>
        <w:t xml:space="preserve">: PC²’s top-improved molecule under FedAvg-baseline ordering is not necessarily its top-improved molecule under FedProx- or FedPer-baseline ordering, and seed-to-seed variation can permute the bottom-k. Figure S1 and the table above are provided to give chemistry-discipline readers a feel for</w:t>
      </w:r>
      <w:r>
        <w:t xml:space="preserve"> </w:t>
      </w:r>
      <w:r>
        <w:rPr>
          <w:iCs/>
          <w:i/>
        </w:rPr>
        <w:t xml:space="preserve">which kinds of structures</w:t>
      </w:r>
      <w:r>
        <w:t xml:space="preserve"> </w:t>
      </w:r>
      <w:r>
        <w:t xml:space="preserve">PC² helps and hurts; they are not the basis of any statistical claim. The statistical claims rest on the paired tests in Section S6.</w:t>
      </w:r>
    </w:p>
    <w:p>
      <w:r>
        <w:pict>
          <v:rect style="width:0;height:1.5pt" o:hralign="center" o:hrstd="t" o:hr="t"/>
        </w:pict>
      </w:r>
    </w:p>
    <w:bookmarkEnd w:id="65"/>
    <w:bookmarkEnd w:id="66"/>
    <w:bookmarkStart w:id="75" w:name="s9.-reproducibility-checklist"/>
    <w:p>
      <w:pPr>
        <w:pStyle w:val="Heading2"/>
      </w:pPr>
      <w:r>
        <w:t xml:space="preserve">S9. Reproducibility checklist</w:t>
      </w:r>
    </w:p>
    <w:bookmarkStart w:id="67" w:name="s9.1-random-seeds"/>
    <w:p>
      <w:pPr>
        <w:pStyle w:val="Heading3"/>
      </w:pPr>
      <w:r>
        <w:t xml:space="preserve">S9.1 Random seeds</w:t>
      </w:r>
    </w:p>
    <w:p>
      <w:pPr>
        <w:pStyle w:val="FirstParagraph"/>
      </w:pPr>
      <w:r>
        <w:t xml:space="preserve">Five seeds {42, 123, 456, 789, 1000}.</w:t>
      </w:r>
      <w:r>
        <w:t xml:space="preserve"> </w:t>
      </w:r>
      <w:r>
        <w:rPr>
          <w:rStyle w:val="VerbatimChar"/>
        </w:rPr>
        <w:t xml:space="preserve">set_all_seeds(seed)</w:t>
      </w:r>
      <w:r>
        <w:t xml:space="preserve"> </w:t>
      </w:r>
      <w:r>
        <w:t xml:space="preserve">initialises</w:t>
      </w:r>
      <w:r>
        <w:t xml:space="preserve"> </w:t>
      </w:r>
      <w:r>
        <w:rPr>
          <w:rStyle w:val="VerbatimChar"/>
        </w:rPr>
        <w:t xml:space="preserve">random</w:t>
      </w:r>
      <w:r>
        <w:t xml:space="preserve">,</w:t>
      </w:r>
      <w:r>
        <w:t xml:space="preserve"> </w:t>
      </w:r>
      <w:r>
        <w:rPr>
          <w:rStyle w:val="VerbatimChar"/>
        </w:rPr>
        <w:t xml:space="preserve">numpy.random</w:t>
      </w:r>
      <w:r>
        <w:t xml:space="preserve">,</w:t>
      </w:r>
      <w:r>
        <w:t xml:space="preserve"> </w:t>
      </w:r>
      <w:r>
        <w:rPr>
          <w:rStyle w:val="VerbatimChar"/>
        </w:rPr>
        <w:t xml:space="preserve">torch.manual_seed</w:t>
      </w:r>
      <w:r>
        <w:t xml:space="preserve">,</w:t>
      </w:r>
      <w:r>
        <w:t xml:space="preserve"> </w:t>
      </w:r>
      <w:r>
        <w:rPr>
          <w:rStyle w:val="VerbatimChar"/>
        </w:rPr>
        <w:t xml:space="preserve">torch.cuda.manual_seed_all</w:t>
      </w:r>
      <w:r>
        <w:t xml:space="preserve">, and sets</w:t>
      </w:r>
      <w:r>
        <w:t xml:space="preserve"> </w:t>
      </w:r>
      <w:r>
        <w:rPr>
          <w:rStyle w:val="VerbatimChar"/>
        </w:rPr>
        <w:t xml:space="preserve">torch.backends.cudnn.deterministic = True</w:t>
      </w:r>
      <w:r>
        <w:t xml:space="preserve">.</w:t>
      </w:r>
    </w:p>
    <w:bookmarkEnd w:id="67"/>
    <w:bookmarkStart w:id="68" w:name="s9.2-hardware-and-runtime"/>
    <w:p>
      <w:pPr>
        <w:pStyle w:val="Heading3"/>
      </w:pPr>
      <w:r>
        <w:t xml:space="preserve">S9.2 Hardware and runtime</w:t>
      </w:r>
    </w:p>
    <w:p>
      <w:pPr>
        <w:numPr>
          <w:ilvl w:val="0"/>
          <w:numId w:val="1018"/>
        </w:numPr>
        <w:pStyle w:val="Compact"/>
      </w:pPr>
      <w:r>
        <w:t xml:space="preserve">GPU box: dual NVIDIA A30 24 GB (CUDA 12.4), dual Intel Xeon Platinum 8260.</w:t>
      </w:r>
    </w:p>
    <w:p>
      <w:pPr>
        <w:numPr>
          <w:ilvl w:val="0"/>
          <w:numId w:val="1018"/>
        </w:numPr>
        <w:pStyle w:val="Compact"/>
      </w:pPr>
      <w:r>
        <w:t xml:space="preserve">Each federated run takes approximately 30 minutes wall-clock on dual A30.</w:t>
      </w:r>
    </w:p>
    <w:p>
      <w:pPr>
        <w:numPr>
          <w:ilvl w:val="0"/>
          <w:numId w:val="1018"/>
        </w:numPr>
        <w:pStyle w:val="Compact"/>
      </w:pPr>
      <w:r>
        <w:t xml:space="preserve">The 25-run main batch (5 methods × 5 seeds) plus the 20-run ablation batch (4 ablations × 5 seeds) for this manuscript total approximately 20 GPU-hours.</w:t>
      </w:r>
    </w:p>
    <w:bookmarkEnd w:id="68"/>
    <w:bookmarkStart w:id="69" w:name="s9.3-code-paths"/>
    <w:p>
      <w:pPr>
        <w:pStyle w:val="Heading3"/>
      </w:pPr>
      <w:r>
        <w:t xml:space="preserve">S9.3 Code paths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Path</w:t>
            </w:r>
          </w:p>
        </w:tc>
      </w:tr>
      <w:tr>
        <w:tc>
          <w:tcPr/>
          <w:p>
            <w:pPr>
              <w:pStyle w:val="Compact"/>
              <w:jc w:val="left"/>
            </w:pPr>
            <w:r>
              <w:t xml:space="preserve">Data loading and graph construction</w:t>
            </w:r>
          </w:p>
        </w:tc>
        <w:tc>
          <w:tcPr/>
          <w:p>
            <w:pPr>
              <w:pStyle w:val="Compact"/>
              <w:jc w:val="left"/>
            </w:pPr>
            <w:r>
              <w:rPr>
                <w:rStyle w:val="VerbatimChar"/>
              </w:rPr>
              <w:t xml:space="preserve">src/data_utils.py</w:t>
            </w:r>
          </w:p>
        </w:tc>
      </w:tr>
      <w:tr>
        <w:tc>
          <w:tcPr/>
          <w:p>
            <w:pPr>
              <w:pStyle w:val="Compact"/>
              <w:jc w:val="left"/>
            </w:pPr>
            <w:r>
              <w:t xml:space="preserve">GIN / SchNet encoders, KAN / MLP heads, adapter, calibration</w:t>
            </w:r>
          </w:p>
        </w:tc>
        <w:tc>
          <w:tcPr/>
          <w:p>
            <w:pPr>
              <w:pStyle w:val="Compact"/>
              <w:jc w:val="left"/>
            </w:pPr>
            <w:r>
              <w:rPr>
                <w:rStyle w:val="VerbatimChar"/>
              </w:rPr>
              <w:t xml:space="preserve">src/models.py</w:t>
            </w:r>
          </w:p>
        </w:tc>
      </w:tr>
      <w:tr>
        <w:tc>
          <w:tcPr/>
          <w:p>
            <w:pPr>
              <w:pStyle w:val="Compact"/>
              <w:jc w:val="left"/>
            </w:pPr>
            <w:r>
              <w:t xml:space="preserve">Federated aggregation operators and the</w:t>
            </w:r>
            <w:r>
              <w:t xml:space="preserve"> </w:t>
            </w:r>
            <w:r>
              <w:rPr>
                <w:rStyle w:val="VerbatimChar"/>
              </w:rPr>
              <w:t xml:space="preserve">_get_exclude_keys</w:t>
            </w:r>
            <w:r>
              <w:t xml:space="preserve"> </w:t>
            </w:r>
            <w:r>
              <w:t xml:space="preserve">filter</w:t>
            </w:r>
          </w:p>
        </w:tc>
        <w:tc>
          <w:tcPr/>
          <w:p>
            <w:pPr>
              <w:pStyle w:val="Compact"/>
              <w:jc w:val="left"/>
            </w:pPr>
            <w:r>
              <w:rPr>
                <w:rStyle w:val="VerbatimChar"/>
              </w:rPr>
              <w:t xml:space="preserve">src/federated.py</w:t>
            </w:r>
          </w:p>
        </w:tc>
      </w:tr>
      <w:tr>
        <w:tc>
          <w:tcPr/>
          <w:p>
            <w:pPr>
              <w:pStyle w:val="Compact"/>
              <w:jc w:val="left"/>
            </w:pPr>
            <w:r>
              <w:t xml:space="preserve">Per-round training, evaluation, paired metrics</w:t>
            </w:r>
          </w:p>
        </w:tc>
        <w:tc>
          <w:tcPr/>
          <w:p>
            <w:pPr>
              <w:pStyle w:val="Compact"/>
              <w:jc w:val="left"/>
            </w:pPr>
            <w:r>
              <w:rPr>
                <w:rStyle w:val="VerbatimChar"/>
              </w:rPr>
              <w:t xml:space="preserve">src/train_eval.py</w:t>
            </w:r>
          </w:p>
        </w:tc>
      </w:tr>
      <w:tr>
        <w:tc>
          <w:tcPr/>
          <w:p>
            <w:pPr>
              <w:pStyle w:val="Compact"/>
              <w:jc w:val="left"/>
            </w:pPr>
            <w:r>
              <w:t xml:space="preserve">Transferability matrix construction</w:t>
            </w:r>
          </w:p>
        </w:tc>
        <w:tc>
          <w:tcPr/>
          <w:p>
            <w:pPr>
              <w:pStyle w:val="Compact"/>
              <w:jc w:val="left"/>
            </w:pPr>
            <w:r>
              <w:rPr>
                <w:rStyle w:val="VerbatimChar"/>
              </w:rPr>
              <w:t xml:space="preserve">src/transferability.py</w:t>
            </w:r>
          </w:p>
        </w:tc>
      </w:tr>
      <w:tr>
        <w:tc>
          <w:tcPr/>
          <w:p>
            <w:pPr>
              <w:pStyle w:val="Compact"/>
              <w:jc w:val="left"/>
            </w:pPr>
            <w:r>
              <w:t xml:space="preserve">Experiment registry</w:t>
            </w:r>
          </w:p>
        </w:tc>
        <w:tc>
          <w:tcPr/>
          <w:p>
            <w:pPr>
              <w:pStyle w:val="Compact"/>
              <w:jc w:val="left"/>
            </w:pPr>
            <w:r>
              <w:rPr>
                <w:rStyle w:val="VerbatimChar"/>
              </w:rPr>
              <w:t xml:space="preserve">experiments/configs.py</w:t>
            </w:r>
            <w:r>
              <w:t xml:space="preserve">,</w:t>
            </w:r>
            <w:r>
              <w:t xml:space="preserve"> </w:t>
            </w:r>
            <w:r>
              <w:rPr>
                <w:rStyle w:val="VerbatimChar"/>
              </w:rPr>
              <w:t xml:space="preserve">experiments/run_all.py</w:t>
            </w:r>
          </w:p>
        </w:tc>
      </w:tr>
      <w:tr>
        <w:tc>
          <w:tcPr/>
          <w:p>
            <w:pPr>
              <w:pStyle w:val="Compact"/>
              <w:jc w:val="left"/>
            </w:pPr>
            <w:r>
              <w:t xml:space="preserve">5-seed batch driver (E60–E63, E66)</w:t>
            </w:r>
          </w:p>
        </w:tc>
        <w:tc>
          <w:tcPr/>
          <w:p>
            <w:pPr>
              <w:pStyle w:val="Compact"/>
              <w:jc w:val="left"/>
            </w:pPr>
            <w:r>
              <w:rPr>
                <w:rStyle w:val="VerbatimChar"/>
              </w:rPr>
              <w:t xml:space="preserve">experiments/run_pc2_multiseed.py</w:t>
            </w:r>
          </w:p>
        </w:tc>
      </w:tr>
      <w:tr>
        <w:tc>
          <w:tcPr/>
          <w:p>
            <w:pPr>
              <w:pStyle w:val="Compact"/>
              <w:jc w:val="left"/>
            </w:pPr>
            <w:r>
              <w:t xml:space="preserve">Ablation batch driver (E65, E68, E69, E70)</w:t>
            </w:r>
          </w:p>
        </w:tc>
        <w:tc>
          <w:tcPr/>
          <w:p>
            <w:pPr>
              <w:pStyle w:val="Compact"/>
              <w:jc w:val="left"/>
            </w:pPr>
            <w:r>
              <w:rPr>
                <w:rStyle w:val="VerbatimChar"/>
              </w:rPr>
              <w:t xml:space="preserve">experiments/run_phase5_step3_4.py</w:t>
            </w:r>
          </w:p>
        </w:tc>
      </w:tr>
      <w:tr>
        <w:tc>
          <w:tcPr/>
          <w:p>
            <w:pPr>
              <w:pStyle w:val="Compact"/>
              <w:jc w:val="left"/>
            </w:pPr>
            <w:r>
              <w:t xml:space="preserve">Paired statistical tests</w:t>
            </w:r>
          </w:p>
        </w:tc>
        <w:tc>
          <w:tcPr/>
          <w:p>
            <w:pPr>
              <w:pStyle w:val="Compact"/>
              <w:jc w:val="left"/>
            </w:pPr>
            <w:r>
              <w:rPr>
                <w:rStyle w:val="VerbatimChar"/>
              </w:rPr>
              <w:t xml:space="preserve">experiments/run_phase5_step5_stats.py</w:t>
            </w:r>
          </w:p>
        </w:tc>
      </w:tr>
      <w:tr>
        <w:tc>
          <w:tcPr/>
          <w:p>
            <w:pPr>
              <w:pStyle w:val="Compact"/>
              <w:jc w:val="left"/>
            </w:pPr>
            <w:r>
              <w:t xml:space="preserve">Figure and table generation</w:t>
            </w:r>
          </w:p>
        </w:tc>
        <w:tc>
          <w:tcPr/>
          <w:p>
            <w:pPr>
              <w:pStyle w:val="Compact"/>
              <w:jc w:val="left"/>
            </w:pPr>
            <w:r>
              <w:rPr>
                <w:rStyle w:val="VerbatimChar"/>
              </w:rPr>
              <w:t xml:space="preserve">paper/make_figures.py</w:t>
            </w:r>
          </w:p>
        </w:tc>
      </w:tr>
    </w:tbl>
    <w:bookmarkEnd w:id="69"/>
    <w:bookmarkStart w:id="70" w:name="s9.4-result-files"/>
    <w:p>
      <w:pPr>
        <w:pStyle w:val="Heading3"/>
      </w:pPr>
      <w:r>
        <w:t xml:space="preserve">S9.4 Result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Artefact</w:t>
            </w:r>
          </w:p>
        </w:tc>
        <w:tc>
          <w:tcPr/>
          <w:p>
            <w:pPr>
              <w:pStyle w:val="Compact"/>
              <w:jc w:val="left"/>
            </w:pPr>
            <w:r>
              <w:t xml:space="preserve">Path</w:t>
            </w:r>
          </w:p>
        </w:tc>
      </w:tr>
      <w:tr>
        <w:tc>
          <w:tcPr/>
          <w:p>
            <w:pPr>
              <w:pStyle w:val="Compact"/>
              <w:jc w:val="left"/>
            </w:pPr>
            <w:r>
              <w:t xml:space="preserve">5-seed main-batch summary</w:t>
            </w:r>
          </w:p>
        </w:tc>
        <w:tc>
          <w:tcPr/>
          <w:p>
            <w:pPr>
              <w:pStyle w:val="Compact"/>
              <w:jc w:val="left"/>
            </w:pPr>
            <w:r>
              <w:rPr>
                <w:rStyle w:val="VerbatimChar"/>
              </w:rPr>
              <w:t xml:space="preserve">results/pc2_batch1_multiseed_summary.csv</w:t>
            </w:r>
          </w:p>
        </w:tc>
      </w:tr>
      <w:tr>
        <w:tc>
          <w:tcPr/>
          <w:p>
            <w:pPr>
              <w:pStyle w:val="Compact"/>
              <w:jc w:val="left"/>
            </w:pPr>
            <w:r>
              <w:t xml:space="preserve">5-seed main-batch per-molecule predictions</w:t>
            </w:r>
          </w:p>
        </w:tc>
        <w:tc>
          <w:tcPr/>
          <w:p>
            <w:pPr>
              <w:pStyle w:val="Compact"/>
              <w:jc w:val="left"/>
            </w:pPr>
            <w:r>
              <w:rPr>
                <w:rStyle w:val="VerbatimChar"/>
              </w:rPr>
              <w:t xml:space="preserve">results/pc2_batch1_multiseed_predictions.json</w:t>
            </w:r>
          </w:p>
        </w:tc>
      </w:tr>
      <w:tr>
        <w:tc>
          <w:tcPr/>
          <w:p>
            <w:pPr>
              <w:pStyle w:val="Compact"/>
              <w:jc w:val="left"/>
            </w:pPr>
            <w:r>
              <w:t xml:space="preserve">5-seed ablation summary</w:t>
            </w:r>
          </w:p>
        </w:tc>
        <w:tc>
          <w:tcPr/>
          <w:p>
            <w:pPr>
              <w:pStyle w:val="Compact"/>
              <w:jc w:val="left"/>
            </w:pPr>
            <w:r>
              <w:rPr>
                <w:rStyle w:val="VerbatimChar"/>
              </w:rPr>
              <w:t xml:space="preserve">results/pc2_phase5_ablation_summary.csv</w:t>
            </w:r>
          </w:p>
        </w:tc>
      </w:tr>
      <w:tr>
        <w:tc>
          <w:tcPr/>
          <w:p>
            <w:pPr>
              <w:pStyle w:val="Compact"/>
              <w:jc w:val="left"/>
            </w:pPr>
            <w:r>
              <w:t xml:space="preserve">5-seed ablation per-molecule predictions</w:t>
            </w:r>
          </w:p>
        </w:tc>
        <w:tc>
          <w:tcPr/>
          <w:p>
            <w:pPr>
              <w:pStyle w:val="Compact"/>
              <w:jc w:val="left"/>
            </w:pPr>
            <w:r>
              <w:rPr>
                <w:rStyle w:val="VerbatimChar"/>
              </w:rPr>
              <w:t xml:space="preserve">results/pc2_phase5_ablation_predictions.json</w:t>
            </w:r>
          </w:p>
        </w:tc>
      </w:tr>
      <w:tr>
        <w:tc>
          <w:tcPr/>
          <w:p>
            <w:pPr>
              <w:pStyle w:val="Compact"/>
              <w:jc w:val="left"/>
            </w:pPr>
            <w:r>
              <w:t xml:space="preserve">Paired statistics</w:t>
            </w:r>
          </w:p>
        </w:tc>
        <w:tc>
          <w:tcPr/>
          <w:p>
            <w:pPr>
              <w:pStyle w:val="Compact"/>
              <w:jc w:val="left"/>
            </w:pPr>
            <w:r>
              <w:rPr>
                <w:rStyle w:val="VerbatimChar"/>
              </w:rPr>
              <w:t xml:space="preserve">results/pc2_phase5_stats.csv</w:t>
            </w:r>
            <w:r>
              <w:t xml:space="preserve">,</w:t>
            </w:r>
            <w:r>
              <w:t xml:space="preserve"> </w:t>
            </w:r>
            <w:r>
              <w:rPr>
                <w:rStyle w:val="VerbatimChar"/>
              </w:rPr>
              <w:t xml:space="preserve">results/pc2_phase5_stats.md</w:t>
            </w:r>
          </w:p>
        </w:tc>
      </w:tr>
      <w:tr>
        <w:tc>
          <w:tcPr/>
          <w:p>
            <w:pPr>
              <w:pStyle w:val="Compact"/>
              <w:jc w:val="left"/>
            </w:pPr>
            <w:r>
              <w:t xml:space="preserve">Pre-verification chemistry overlap (V3)</w:t>
            </w:r>
          </w:p>
        </w:tc>
        <w:tc>
          <w:tcPr/>
          <w:p>
            <w:pPr>
              <w:pStyle w:val="Compact"/>
              <w:jc w:val="left"/>
            </w:pPr>
            <w:r>
              <w:rPr>
                <w:rStyle w:val="VerbatimChar"/>
              </w:rPr>
              <w:t xml:space="preserve">results/preverify/T_chemistry.json</w:t>
            </w:r>
          </w:p>
        </w:tc>
      </w:tr>
      <w:tr>
        <w:tc>
          <w:tcPr/>
          <w:p>
            <w:pPr>
              <w:pStyle w:val="Compact"/>
              <w:jc w:val="left"/>
            </w:pPr>
            <w:r>
              <w:t xml:space="preserve">Compiled transferability matrices</w:t>
            </w:r>
          </w:p>
        </w:tc>
        <w:tc>
          <w:tcPr/>
          <w:p>
            <w:pPr>
              <w:pStyle w:val="Compact"/>
              <w:jc w:val="left"/>
            </w:pPr>
            <w:r>
              <w:rPr>
                <w:rStyle w:val="VerbatimChar"/>
              </w:rPr>
              <w:t xml:space="preserve">results/preverify/T_transferability.json</w:t>
            </w:r>
          </w:p>
        </w:tc>
      </w:tr>
      <w:tr>
        <w:tc>
          <w:tcPr/>
          <w:p>
            <w:pPr>
              <w:pStyle w:val="Compact"/>
              <w:jc w:val="left"/>
            </w:pPr>
            <w:r>
              <w:t xml:space="preserve">Frozen-info anchor (commit hash + SHA-256)</w:t>
            </w:r>
          </w:p>
        </w:tc>
        <w:tc>
          <w:tcPr/>
          <w:p>
            <w:pPr>
              <w:pStyle w:val="Compact"/>
              <w:jc w:val="left"/>
            </w:pPr>
            <w:r>
              <w:rPr>
                <w:rStyle w:val="VerbatimChar"/>
              </w:rPr>
              <w:t xml:space="preserve">logs/pc2_batch1/FROZEN_INFO.txt</w:t>
            </w:r>
          </w:p>
        </w:tc>
      </w:tr>
    </w:tbl>
    <w:bookmarkEnd w:id="70"/>
    <w:bookmarkStart w:id="71" w:name="s9.5-generated-figures-and-tables"/>
    <w:p>
      <w:pPr>
        <w:pStyle w:val="Heading3"/>
      </w:pPr>
      <w:r>
        <w:t xml:space="preserve">S9.5 Generated figures and tables</w:t>
      </w:r>
    </w:p>
    <w:p>
      <w:pPr>
        <w:pStyle w:val="FirstParagraph"/>
      </w:pPr>
      <w:r>
        <w:t xml:space="preserve">The six main-text figures and four main-text tables are reproducible from the above artefacts by running</w:t>
      </w:r>
      <w:r>
        <w:t xml:space="preserve"> </w:t>
      </w:r>
      <w:r>
        <w:rPr>
          <w:rStyle w:val="VerbatimChar"/>
        </w:rPr>
        <w:t xml:space="preserve">python paper/make_figures.py</w:t>
      </w:r>
      <w:r>
        <w:t xml:space="preserve">. Outputs are written to</w:t>
      </w:r>
      <w:r>
        <w:t xml:space="preserve"> </w:t>
      </w:r>
      <w:r>
        <w:rPr>
          <w:rStyle w:val="VerbatimChar"/>
        </w:rPr>
        <w:t xml:space="preserve">paper/figures/</w:t>
      </w:r>
      <w:r>
        <w:t xml:space="preserve"> </w:t>
      </w:r>
      <w:r>
        <w:t xml:space="preserve">(PDF + SVG + PNG at 600 dpi) and</w:t>
      </w:r>
      <w:r>
        <w:t xml:space="preserve"> </w:t>
      </w:r>
      <w:r>
        <w:rPr>
          <w:rStyle w:val="VerbatimChar"/>
        </w:rPr>
        <w:t xml:space="preserve">paper/tables/</w:t>
      </w:r>
      <w:r>
        <w:t xml:space="preserve"> </w:t>
      </w:r>
      <w:r>
        <w:t xml:space="preserve">(CSV + Markdown). The script reads only the result files and never re-runs training. A failure log is written to</w:t>
      </w:r>
      <w:r>
        <w:t xml:space="preserve"> </w:t>
      </w:r>
      <w:r>
        <w:rPr>
          <w:rStyle w:val="VerbatimChar"/>
        </w:rPr>
        <w:t xml:space="preserve">paper/figures/molecule_draw_failures.txt</w:t>
      </w:r>
      <w:r>
        <w:t xml:space="preserve"> </w:t>
      </w:r>
      <w:r>
        <w:t xml:space="preserve">if any SMILES fails to render; in the present manuscript no failures were recorded.</w:t>
      </w:r>
    </w:p>
    <w:bookmarkEnd w:id="71"/>
    <w:bookmarkStart w:id="72" w:name="s9.6-unit-tests"/>
    <w:p>
      <w:pPr>
        <w:pStyle w:val="Heading3"/>
      </w:pPr>
      <w:r>
        <w:t xml:space="preserve">S9.6 Unit tests</w:t>
      </w:r>
    </w:p>
    <w:p>
      <w:pPr>
        <w:pStyle w:val="FirstParagraph"/>
      </w:pPr>
      <w:r>
        <w:t xml:space="preserve">The repository contains 93 unit tests across four modules:</w:t>
      </w:r>
    </w:p>
    <w:p>
      <w:pPr>
        <w:numPr>
          <w:ilvl w:val="0"/>
          <w:numId w:val="1019"/>
        </w:numPr>
        <w:pStyle w:val="Compact"/>
      </w:pPr>
      <w:r>
        <w:rPr>
          <w:rStyle w:val="VerbatimChar"/>
        </w:rPr>
        <w:t xml:space="preserve">tests/test_transferability.py</w:t>
      </w:r>
      <w:r>
        <w:t xml:space="preserve"> </w:t>
      </w:r>
      <w:r>
        <w:t xml:space="preserve">(22 tests) — diag = 1, T_head invariants, unknown-protocol clause, T_adapter consistency, JSON shape.</w:t>
      </w:r>
    </w:p>
    <w:p>
      <w:pPr>
        <w:numPr>
          <w:ilvl w:val="0"/>
          <w:numId w:val="1019"/>
        </w:numPr>
        <w:pStyle w:val="Compact"/>
      </w:pPr>
      <w:r>
        <w:rPr>
          <w:rStyle w:val="VerbatimChar"/>
        </w:rPr>
        <w:t xml:space="preserve">tests/test_pc2_aggregator.py</w:t>
      </w:r>
      <w:r>
        <w:t xml:space="preserve"> </w:t>
      </w:r>
      <w:r>
        <w:t xml:space="preserve">(18 tests) — per-target weight normalisation, exclusion-key filtering, fallback to local copy when all weights are zero.</w:t>
      </w:r>
    </w:p>
    <w:p>
      <w:pPr>
        <w:numPr>
          <w:ilvl w:val="0"/>
          <w:numId w:val="1019"/>
        </w:numPr>
        <w:pStyle w:val="Compact"/>
      </w:pPr>
      <w:r>
        <w:rPr>
          <w:rStyle w:val="VerbatimChar"/>
        </w:rPr>
        <w:t xml:space="preserve">tests/test_train_eval.py</w:t>
      </w:r>
      <w:r>
        <w:t xml:space="preserve"> </w:t>
      </w:r>
      <w:r>
        <w:t xml:space="preserve">(33 tests) — train/eval loop correctness, LOOCV fold ordering, per-fold calibration installation.</w:t>
      </w:r>
    </w:p>
    <w:p>
      <w:pPr>
        <w:numPr>
          <w:ilvl w:val="0"/>
          <w:numId w:val="1019"/>
        </w:numPr>
        <w:pStyle w:val="Compact"/>
      </w:pPr>
      <w:r>
        <w:rPr>
          <w:rStyle w:val="VerbatimChar"/>
        </w:rPr>
        <w:t xml:space="preserve">tests/test_calibration_isolation.py</w:t>
      </w:r>
      <w:r>
        <w:t xml:space="preserve"> </w:t>
      </w:r>
      <w:r>
        <w:t xml:space="preserve">(20 tests) — no-leakage checks, round-trip identity, aggregation exclusion.</w:t>
      </w:r>
    </w:p>
    <w:p>
      <w:pPr>
        <w:pStyle w:val="FirstParagraph"/>
      </w:pPr>
      <w:r>
        <w:t xml:space="preserve">All 93 tests pass on the commit hash recorded in</w:t>
      </w:r>
      <w:r>
        <w:t xml:space="preserve"> </w:t>
      </w:r>
      <w:r>
        <w:rPr>
          <w:rStyle w:val="VerbatimChar"/>
        </w:rPr>
        <w:t xml:space="preserve">logs/pc2_batch1/FROZEN_INFO.txt</w:t>
      </w:r>
      <w:r>
        <w:t xml:space="preserve">.</w:t>
      </w:r>
    </w:p>
    <w:bookmarkEnd w:id="72"/>
    <w:bookmarkStart w:id="73" w:name="s9.7-transferability-json-invariants"/>
    <w:p>
      <w:pPr>
        <w:pStyle w:val="Heading3"/>
      </w:pPr>
      <w:r>
        <w:t xml:space="preserve">S9.7 Transferability JSON invariants</w:t>
      </w:r>
    </w:p>
    <w:p>
      <w:pPr>
        <w:pStyle w:val="FirstParagraph"/>
      </w:pPr>
      <w:r>
        <w:t xml:space="preserve">The compiled</w:t>
      </w:r>
      <w:r>
        <w:t xml:space="preserve"> </w:t>
      </w:r>
      <w:r>
        <w:rPr>
          <w:rStyle w:val="VerbatimChar"/>
        </w:rPr>
        <w:t xml:space="preserve">T_transferability.json</w:t>
      </w:r>
      <w:r>
        <w:t xml:space="preserve"> </w:t>
      </w:r>
      <w:r>
        <w:t xml:space="preserve">was checked against the following invariants prior to any aggregation round:</w:t>
      </w:r>
    </w:p>
    <w:p>
      <w:pPr>
        <w:numPr>
          <w:ilvl w:val="0"/>
          <w:numId w:val="1020"/>
        </w:numPr>
        <w:pStyle w:val="Compact"/>
      </w:pPr>
      <w:r>
        <w:t xml:space="preserve">diag(T_repr) = diag(T_adapter) = diag(T_head) = 1.</w:t>
      </w:r>
    </w:p>
    <w:p>
      <w:pPr>
        <w:numPr>
          <w:ilvl w:val="0"/>
          <w:numId w:val="1020"/>
        </w:numPr>
        <w:pStyle w:val="Compact"/>
      </w:pPr>
      <w:r>
        <w:t xml:space="preserve">T_head[D, C-hole] = T_head[D, C-triplet] = 0.</w:t>
      </w:r>
    </w:p>
    <w:p>
      <w:pPr>
        <w:numPr>
          <w:ilvl w:val="0"/>
          <w:numId w:val="1020"/>
        </w:numPr>
        <w:pStyle w:val="Compact"/>
      </w:pPr>
      <w:r>
        <w:t xml:space="preserve">T_head[C-hole, C-triplet] = T_head[C-triplet, C-hole] = 0.</w:t>
      </w:r>
    </w:p>
    <w:p>
      <w:pPr>
        <w:numPr>
          <w:ilvl w:val="0"/>
          <w:numId w:val="1020"/>
        </w:numPr>
        <w:pStyle w:val="Compact"/>
      </w:pPr>
      <w:r>
        <w:t xml:space="preserve">T_head[A, C-triplet] = T_head[B, C-triplet] = 0.</w:t>
      </w:r>
    </w:p>
    <w:p>
      <w:pPr>
        <w:numPr>
          <w:ilvl w:val="0"/>
          <w:numId w:val="1020"/>
        </w:numPr>
        <w:pStyle w:val="Compact"/>
      </w:pPr>
      <w:r>
        <w:t xml:space="preserve">For every (i, j), T_repr[i, j] ∈ [ε_r, 1]; T_adapter[i, j] is consistent with √(T_repr · T_head) up to the floor ε_a.</w:t>
      </w:r>
    </w:p>
    <w:p>
      <w:pPr>
        <w:pStyle w:val="FirstParagraph"/>
      </w:pPr>
      <w:r>
        <w:t xml:space="preserve">A copy of the JSON SHA-256 is recorded in</w:t>
      </w:r>
      <w:r>
        <w:t xml:space="preserve"> </w:t>
      </w:r>
      <w:r>
        <w:rPr>
          <w:rStyle w:val="VerbatimChar"/>
        </w:rPr>
        <w:t xml:space="preserve">logs/pc2_batch1/FROZEN_INFO.txt</w:t>
      </w:r>
      <w:r>
        <w:t xml:space="preserve">.</w:t>
      </w:r>
    </w:p>
    <w:bookmarkEnd w:id="73"/>
    <w:bookmarkStart w:id="74" w:name="s9.8-no-leakage-calibration-checks"/>
    <w:p>
      <w:pPr>
        <w:pStyle w:val="Heading3"/>
      </w:pPr>
      <w:r>
        <w:t xml:space="preserve">S9.8 No-leakage calibration checks</w:t>
      </w:r>
    </w:p>
    <w:p>
      <w:pPr>
        <w:pStyle w:val="FirstParagraph"/>
      </w:pPr>
      <w:r>
        <w:t xml:space="preserve">The 20 calibration-isolation tests (</w:t>
      </w:r>
      <w:r>
        <w:rPr>
          <w:rStyle w:val="VerbatimChar"/>
        </w:rPr>
        <w:t xml:space="preserve">tests/test_calibration_isolation.py</w:t>
      </w:r>
      <w:r>
        <w:t xml:space="preserve">) verify, for each LOOCV fold of each task-client, that (i) the held-out test molecule’s label never enters</w:t>
      </w:r>
      <w:r>
        <w:t xml:space="preserve"> </w:t>
      </w:r>
      <w:r>
        <w:rPr>
          <w:rStyle w:val="VerbatimChar"/>
        </w:rPr>
        <w:t xml:space="preserve">set_calibration(μ, σ)</w:t>
      </w:r>
      <w:r>
        <w:t xml:space="preserve">; (ii) the aggregated state-dict received by each task-client does not overwrite its own (μ, σ) buffers; (iii) the round-trip z-space → eV-space inversion preserves the original label to within 1 × 10⁻⁵ eV on fixed inputs.</w:t>
      </w:r>
    </w:p>
    <w:p>
      <w:r>
        <w:pict>
          <v:rect style="width:0;height:1.5pt" o:hralign="center" o:hrstd="t" o:hr="t"/>
        </w:pict>
      </w:r>
    </w:p>
    <w:bookmarkEnd w:id="74"/>
    <w:bookmarkEnd w:id="75"/>
    <w:bookmarkStart w:id="82" w:name="X14e82e42f38cc2cf1b3bb5fbd8e32d5bc23a3d4"/>
    <w:p>
      <w:pPr>
        <w:pStyle w:val="Heading2"/>
      </w:pPr>
      <w:r>
        <w:t xml:space="preserve">S10. Additional limitations and future work</w:t>
      </w:r>
    </w:p>
    <w:bookmarkStart w:id="76" w:name="s10.1-deferred-baselines"/>
    <w:p>
      <w:pPr>
        <w:pStyle w:val="Heading3"/>
      </w:pPr>
      <w:r>
        <w:t xml:space="preserve">S10.1 Deferred baselines</w:t>
      </w:r>
    </w:p>
    <w:p>
      <w:pPr>
        <w:numPr>
          <w:ilvl w:val="0"/>
          <w:numId w:val="1021"/>
        </w:numPr>
        <w:pStyle w:val="Compact"/>
      </w:pPr>
      <w:r>
        <w:rPr>
          <w:bCs/>
          <w:b/>
        </w:rPr>
        <w:t xml:space="preserve">MOON</w:t>
      </w:r>
      <w:r>
        <w:t xml:space="preserve"> </w:t>
      </w:r>
      <w:r>
        <w:t xml:space="preserve">(Li, He, Song 2021, CVPR) — model-contrastive federated learning targeting representation drift; deferred to follow-up work since PC²-FedReorg already addresses personalization through architectural separation rather than contrastive regularisation.</w:t>
      </w:r>
    </w:p>
    <w:p>
      <w:pPr>
        <w:numPr>
          <w:ilvl w:val="0"/>
          <w:numId w:val="1021"/>
        </w:numPr>
        <w:pStyle w:val="Compact"/>
      </w:pPr>
      <w:r>
        <w:rPr>
          <w:bCs/>
          <w:b/>
        </w:rPr>
        <w:t xml:space="preserve">D-MPNN / ChemProp</w:t>
      </w:r>
      <w:r>
        <w:t xml:space="preserve"> </w:t>
      </w:r>
      <w:r>
        <w:t xml:space="preserve">(Yang et al. 2019, JCIM) — strong message-passing baseline; deferred due to GPU-hour budget and to keep the comparison anchored to the federated-learning family.</w:t>
      </w:r>
    </w:p>
    <w:p>
      <w:pPr>
        <w:pStyle w:val="FirstParagraph"/>
      </w:pPr>
      <w:r>
        <w:t xml:space="preserve">Both baselines are explicitly flagged as recommended additions for a manuscript revision.</w:t>
      </w:r>
    </w:p>
    <w:bookmarkEnd w:id="76"/>
    <w:bookmarkStart w:id="77" w:name="s10.2-learnable-calibration"/>
    <w:p>
      <w:pPr>
        <w:pStyle w:val="Heading3"/>
      </w:pPr>
      <w:r>
        <w:t xml:space="preserve">S10.2 Learnable calibration</w:t>
      </w:r>
    </w:p>
    <w:p>
      <w:pPr>
        <w:pStyle w:val="FirstParagraph"/>
      </w:pPr>
      <w:r>
        <w:t xml:space="preserve">A learnable affine layer over the standardised output (E72 ablation, planned) was deferred to follow-up work to avoid introducing additional degrees of freedom at the present sample size. With n = 49–53 per private task-client, two extra parameters (a, b) per head are at risk of absorbing noise rather than improving generalisation.</w:t>
      </w:r>
    </w:p>
    <w:bookmarkEnd w:id="77"/>
    <w:bookmarkStart w:id="78" w:name="s10.3-c-hole-data-ceiling"/>
    <w:p>
      <w:pPr>
        <w:pStyle w:val="Heading3"/>
      </w:pPr>
      <w:r>
        <w:t xml:space="preserve">S10.3 C-hole data ceiling</w:t>
      </w:r>
    </w:p>
    <w:p>
      <w:pPr>
        <w:pStyle w:val="FirstParagraph"/>
      </w:pPr>
      <w:r>
        <w:t xml:space="preserve">All evaluated methods produce MAE in the narrow band 0.368–0.414 eV on n = 53 C-hole LOOCV, with no paired test reaching significance. The best classical baseline R² on the same data is −0.10 (KNN). It is unclear from this dataset alone whether C-hole improvements are achievable in this protocol regime. Expanding C-hole through additional ωB97X-D conformer-resolved measurements is the most direct route to breaking the ceiling.</w:t>
      </w:r>
    </w:p>
    <w:bookmarkEnd w:id="78"/>
    <w:bookmarkStart w:id="79" w:name="X22bf5977a83c2c623902a87fd65580b1d15c517"/>
    <w:p>
      <w:pPr>
        <w:pStyle w:val="Heading3"/>
      </w:pPr>
      <w:r>
        <w:t xml:space="preserve">S10.4 Chemistry gate testing under more diverse client pairs</w:t>
      </w:r>
    </w:p>
    <w:p>
      <w:pPr>
        <w:pStyle w:val="FirstParagraph"/>
      </w:pPr>
      <w:r>
        <w:t xml:space="preserve">Because C-hole and C-triplet share the majority of their underlying molecules, T_repr between them is essentially saturated (≈ 0.98–1.00). The chemistry-driven encoder gate is therefore tested on the</w:t>
      </w:r>
      <w:r>
        <w:t xml:space="preserve"> </w:t>
      </w:r>
      <w:r>
        <w:rPr>
          <w:iCs/>
          <w:i/>
        </w:rPr>
        <w:t xml:space="preserve">easier</w:t>
      </w:r>
      <w:r>
        <w:t xml:space="preserve"> </w:t>
      </w:r>
      <w:r>
        <w:t xml:space="preserve">regime (very similar chemistry) but not on the</w:t>
      </w:r>
      <w:r>
        <w:t xml:space="preserve"> </w:t>
      </w:r>
      <w:r>
        <w:rPr>
          <w:iCs/>
          <w:i/>
        </w:rPr>
        <w:t xml:space="preserve">harder</w:t>
      </w:r>
      <w:r>
        <w:t xml:space="preserve"> </w:t>
      </w:r>
      <w:r>
        <w:t xml:space="preserve">regime (moderate diversity), where a non-uniform gate would actively shape weight vectors. Future federations with task-clients at intermediate Tanimoto-K (≈ 0.4–0.6) would more decisively probe the gate’s empirical contribution.</w:t>
      </w:r>
    </w:p>
    <w:bookmarkEnd w:id="79"/>
    <w:bookmarkStart w:id="80" w:name="Xba18efa6f59ccd23ab032a574e5cd01189662e3"/>
    <w:p>
      <w:pPr>
        <w:pStyle w:val="Heading3"/>
      </w:pPr>
      <w:r>
        <w:t xml:space="preserve">S10.5 Font availability for current draft figures</w:t>
      </w:r>
    </w:p>
    <w:p>
      <w:pPr>
        <w:pStyle w:val="FirstParagraph"/>
      </w:pPr>
      <w:r>
        <w:t xml:space="preserve">The figures distributed with this manuscript draft were rendered using Liberation Serif (a metric-compatible substitute for Times New Roman) because Times New Roman was not installed on either of the project’s compute nodes at the time of the present writing pass. For final journal submission, the figure-generation script (</w:t>
      </w:r>
      <w:r>
        <w:rPr>
          <w:rStyle w:val="VerbatimChar"/>
        </w:rPr>
        <w:t xml:space="preserve">paper/make_figures.py</w:t>
      </w:r>
      <w:r>
        <w:t xml:space="preserve">) should be re-run on a machine that has Times New Roman registered with matplotlib’s font manager.</w:t>
      </w:r>
    </w:p>
    <w:bookmarkEnd w:id="80"/>
    <w:bookmarkStart w:id="81" w:name="s10.6-other-future-directions"/>
    <w:p>
      <w:pPr>
        <w:pStyle w:val="Heading3"/>
      </w:pPr>
      <w:r>
        <w:t xml:space="preserve">S10.6 Other future directions</w:t>
      </w:r>
    </w:p>
    <w:p>
      <w:pPr>
        <w:numPr>
          <w:ilvl w:val="0"/>
          <w:numId w:val="1022"/>
        </w:numPr>
        <w:pStyle w:val="Compact"/>
      </w:pPr>
      <w:r>
        <w:rPr>
          <w:bCs/>
          <w:b/>
        </w:rPr>
        <w:t xml:space="preserve">Quantity-aware multi-head extension.</w:t>
      </w:r>
      <w:r>
        <w:t xml:space="preserve"> </w:t>
      </w:r>
      <w:r>
        <w:t xml:space="preserve">A single task-client could own multiple physically distinct quantities sharing the same encoder but with separate quantity-specific heads; this would generalise the C-hole / C-triplet split to richer in-house datasets.</w:t>
      </w:r>
    </w:p>
    <w:p>
      <w:pPr>
        <w:numPr>
          <w:ilvl w:val="0"/>
          <w:numId w:val="1022"/>
        </w:numPr>
        <w:pStyle w:val="Compact"/>
      </w:pPr>
      <w:r>
        <w:rPr>
          <w:bCs/>
          <w:b/>
        </w:rPr>
        <w:t xml:space="preserve">Communication compression.</w:t>
      </w:r>
      <w:r>
        <w:t xml:space="preserve"> </w:t>
      </w:r>
      <w:r>
        <w:t xml:space="preserve">Top-k sparsification of per-key updates, particularly relevant for slow private-lab uplinks.</w:t>
      </w:r>
    </w:p>
    <w:p>
      <w:pPr>
        <w:numPr>
          <w:ilvl w:val="0"/>
          <w:numId w:val="1022"/>
        </w:numPr>
        <w:pStyle w:val="Compact"/>
      </w:pPr>
      <w:r>
        <w:rPr>
          <w:bCs/>
          <w:b/>
        </w:rPr>
        <w:t xml:space="preserve">Federated active learning.</w:t>
      </w:r>
      <w:r>
        <w:t xml:space="preserve"> </w:t>
      </w:r>
      <w:r>
        <w:t xml:space="preserve">Use the per-task-client calibration σ as an uncertainty proxy to prioritise which next-batch molecules each laboratory should label, closing the design loop between modeling and experiment.</w:t>
      </w:r>
    </w:p>
    <w:p>
      <w:r>
        <w:pict>
          <v:rect style="width:0;height:1.5pt" o:hralign="center" o:hrstd="t" o:hr="t"/>
        </w:pict>
      </w:r>
    </w:p>
    <w:bookmarkEnd w:id="81"/>
    <w:bookmarkEnd w:id="82"/>
    <w:bookmarkStart w:id="88" w:name="Xb5e3f2e12ea7726e6e45339d6636d78b05332a6"/>
    <w:p>
      <w:pPr>
        <w:pStyle w:val="Heading2"/>
      </w:pPr>
      <w:r>
        <w:t xml:space="preserve">S11. Controlled pseudo-federation tests of task-specific calibration</w:t>
      </w:r>
    </w:p>
    <w:p>
      <w:pPr>
        <w:pStyle w:val="FirstParagraph"/>
      </w:pPr>
      <w:r>
        <w:t xml:space="preserve">To check whether the calibration signal observed on the real TADF C-triplet target (§S7.6, main-text Figure 5) is an isolated outcome or part of a broader pattern, we ran two additional controlled experiments on synthetic pseudo-federations constructed from the public QM9-derived dataset</w:t>
      </w:r>
      <w:r>
        <w:t xml:space="preserve"> </w:t>
      </w:r>
      <w:r>
        <w:rPr>
          <w:rStyle w:val="VerbatimChar"/>
        </w:rPr>
        <w:t xml:space="preserve">data/client_a_b/public_reorg_energy_15210.csv</w:t>
      </w:r>
      <w:r>
        <w:t xml:space="preserve">.</w:t>
      </w:r>
      <w:r>
        <w:t xml:space="preserve"> </w:t>
      </w:r>
      <w:r>
        <w:rPr>
          <w:bCs/>
          <w:b/>
        </w:rPr>
        <w:t xml:space="preserve">These experiments do not modify any main-text result on the real C-hole or C-triplet targets</w:t>
      </w:r>
      <w:r>
        <w:t xml:space="preserve">; the raw outputs are in</w:t>
      </w:r>
      <w:r>
        <w:t xml:space="preserve"> </w:t>
      </w:r>
      <w:r>
        <w:rPr>
          <w:rStyle w:val="VerbatimChar"/>
        </w:rPr>
        <w:t xml:space="preserve">results/calibration_generalization/</w:t>
      </w:r>
      <w:r>
        <w:t xml:space="preserve"> </w:t>
      </w:r>
      <w:r>
        <w:t xml:space="preserve">and the unified report is at</w:t>
      </w:r>
      <w:r>
        <w:t xml:space="preserve"> </w:t>
      </w:r>
      <w:r>
        <w:rPr>
          <w:rStyle w:val="VerbatimChar"/>
        </w:rPr>
        <w:t xml:space="preserve">paper/calibration_generalization/calibration_generalization_report.md</w:t>
      </w:r>
      <w:r>
        <w:t xml:space="preserve">. The summary verdict is</w:t>
      </w:r>
      <w:r>
        <w:t xml:space="preserve"> </w:t>
      </w:r>
      <w:r>
        <w:rPr>
          <w:bCs/>
          <w:b/>
        </w:rPr>
        <w:t xml:space="preserve">PASS-LIMITED</w:t>
      </w:r>
      <w:r>
        <w:t xml:space="preserve">: calibration generalises in the small-target regime that mirrors C-triplet, but not in the moderate-target / aggressive-transform regime where local-only training is already adequate.</w:t>
      </w:r>
    </w:p>
    <w:bookmarkStart w:id="83" w:name="s11.1-phase-1-label-scale-stress-test"/>
    <w:p>
      <w:pPr>
        <w:pStyle w:val="Heading3"/>
      </w:pPr>
      <w:r>
        <w:t xml:space="preserve">S11.1 Phase 1 — label-scale stress test</w:t>
      </w:r>
    </w:p>
    <w:p>
      <w:pPr>
        <w:pStyle w:val="FirstParagraph"/>
      </w:pPr>
      <w:r>
        <w:t xml:space="preserve">A five-client pseudo-federation was built with one target (S1, identity label transform, n_target = 100) and four sources carrying aggressive affine plus noise transforms (S2: y → 2y + 0.5; S3: y → 0.5y − 0.2; S4: y → 3y + 1.0; S5: y + N(0, 0.05); n_source = 200 each). Five seeds, twelve communication rounds, five local epochs per round.</w:t>
      </w:r>
    </w:p>
    <w:p>
      <w:pPr>
        <w:numPr>
          <w:ilvl w:val="0"/>
          <w:numId w:val="1023"/>
        </w:numPr>
        <w:pStyle w:val="Compact"/>
      </w:pPr>
      <w:r>
        <w:t xml:space="preserve">Local-only: MAE = 0.309 ± 0.010 eV (mean ± SEM across the 5 seeds).</w:t>
      </w:r>
    </w:p>
    <w:p>
      <w:pPr>
        <w:numPr>
          <w:ilvl w:val="0"/>
          <w:numId w:val="1023"/>
        </w:numPr>
        <w:pStyle w:val="Compact"/>
      </w:pPr>
      <w:r>
        <w:t xml:space="preserve">Plain FedPer: 0.358.</w:t>
      </w:r>
    </w:p>
    <w:p>
      <w:pPr>
        <w:numPr>
          <w:ilvl w:val="0"/>
          <w:numId w:val="1023"/>
        </w:numPr>
        <w:pStyle w:val="Compact"/>
      </w:pPr>
      <w:r>
        <w:t xml:space="preserve">FedPer + calibration: 0.340.</w:t>
      </w:r>
    </w:p>
    <w:p>
      <w:pPr>
        <w:numPr>
          <w:ilvl w:val="0"/>
          <w:numId w:val="1023"/>
        </w:numPr>
        <w:pStyle w:val="Compact"/>
      </w:pPr>
      <w:r>
        <w:t xml:space="preserve">FedAvg, no calibration: 0.342.</w:t>
      </w:r>
    </w:p>
    <w:p>
      <w:pPr>
        <w:pStyle w:val="FirstParagraph"/>
      </w:pPr>
      <w:r>
        <w:t xml:space="preserve">Paired Wilcoxon on per-target median-across-seeds absolute errors:</w:t>
      </w:r>
    </w:p>
    <w:p>
      <w:pPr>
        <w:numPr>
          <w:ilvl w:val="0"/>
          <w:numId w:val="1024"/>
        </w:numPr>
        <w:pStyle w:val="Compact"/>
      </w:pPr>
      <w:r>
        <w:rPr>
          <w:bCs/>
          <w:b/>
        </w:rPr>
        <w:t xml:space="preserve">FedPer + calibration vs. FedPer: ΔMAE = +0.010 eV (p = 0.73, n.s.)</w:t>
      </w:r>
      <w:r>
        <w:t xml:space="preserve"> </w:t>
      </w:r>
      <w:r>
        <w:t xml:space="preserve">— calibration shows no advantage over plain FedPer at this n_target.</w:t>
      </w:r>
    </w:p>
    <w:p>
      <w:pPr>
        <w:numPr>
          <w:ilvl w:val="0"/>
          <w:numId w:val="1024"/>
        </w:numPr>
        <w:pStyle w:val="Compact"/>
      </w:pPr>
      <w:r>
        <w:t xml:space="preserve">FedPer + calibration vs. FedAvg without calibration: ΔMAE = −0.043 eV (p = 0.008) — calibration improves over no-encoder-personalisation.</w:t>
      </w:r>
    </w:p>
    <w:p>
      <w:pPr>
        <w:pStyle w:val="FirstParagraph"/>
      </w:pPr>
      <w:r>
        <w:t xml:space="preserve">Local-only is already competitive in this regime, so the federation itself is not load-bearing.</w:t>
      </w:r>
    </w:p>
    <w:bookmarkEnd w:id="83"/>
    <w:bookmarkStart w:id="84" w:name="Xcaf87151a606afb4de67f3528f4430730be5514"/>
    <w:p>
      <w:pPr>
        <w:pStyle w:val="Heading3"/>
      </w:pPr>
      <w:r>
        <w:t xml:space="preserve">S11.2 Phase 2 — pseudo-task multi-target validation</w:t>
      </w:r>
    </w:p>
    <w:p>
      <w:pPr>
        <w:pStyle w:val="FirstParagraph"/>
      </w:pPr>
      <w:r>
        <w:t xml:space="preserve">Ten label-quantile-binned pseudo-targets (n_per_task = 50, identity transforms) were each evaluated under the same federation. Three seeds, eight communication rounds, three local epochs per round, three folds of CV per target.</w:t>
      </w:r>
    </w:p>
    <w:p>
      <w:pPr>
        <w:numPr>
          <w:ilvl w:val="0"/>
          <w:numId w:val="1025"/>
        </w:numPr>
        <w:pStyle w:val="Compact"/>
      </w:pPr>
      <w:r>
        <w:rPr>
          <w:bCs/>
          <w:b/>
        </w:rPr>
        <w:t xml:space="preserve">FedPer + calibration improved over plain FedPer on 9 of 10 pseudo-targets</w:t>
      </w:r>
      <w:r>
        <w:t xml:space="preserve">.</w:t>
      </w:r>
    </w:p>
    <w:p>
      <w:pPr>
        <w:numPr>
          <w:ilvl w:val="0"/>
          <w:numId w:val="1025"/>
        </w:numPr>
        <w:pStyle w:val="Compact"/>
      </w:pPr>
      <w:r>
        <w:t xml:space="preserve">Median ΔMAE = −0.020 eV (IQR [−0.030, −0.013]).</w:t>
      </w:r>
    </w:p>
    <w:p>
      <w:pPr>
        <w:numPr>
          <w:ilvl w:val="0"/>
          <w:numId w:val="1025"/>
        </w:numPr>
        <w:pStyle w:val="Compact"/>
      </w:pPr>
      <w:r>
        <w:t xml:space="preserve">Per-task paired Wilcoxon:</w:t>
      </w:r>
      <w:r>
        <w:t xml:space="preserve"> </w:t>
      </w:r>
      <w:r>
        <w:rPr>
          <w:bCs/>
          <w:b/>
        </w:rPr>
        <w:t xml:space="preserve">p &lt; 0.001 on 7 of 10 tasks</w:t>
      </w:r>
      <w:r>
        <w:t xml:space="preserve">; one task borderline (T00_quantile0, ΔMAE = −0.001 eV, p = 0.745); one task in the opposite direction (T09_quantile9, the extreme high-label quantile, ΔMAE = +0.035 eV, p = 0.112).</w:t>
      </w:r>
    </w:p>
    <w:bookmarkEnd w:id="84"/>
    <w:bookmarkStart w:id="85" w:name="Xac97d011effa319c193d87058290bfe4c564da0"/>
    <w:p>
      <w:pPr>
        <w:pStyle w:val="Heading3"/>
      </w:pPr>
      <w:r>
        <w:t xml:space="preserve">S11.3 Phase 3 — calibration variants (not run)</w:t>
      </w:r>
    </w:p>
    <w:p>
      <w:pPr>
        <w:pStyle w:val="FirstParagraph"/>
      </w:pPr>
      <w:r>
        <w:t xml:space="preserve">Shrinkage calibration and learnable affine calibration were specified as candidate variants but not executed (</w:t>
      </w:r>
      <w:r>
        <w:rPr>
          <w:rStyle w:val="VerbatimChar"/>
        </w:rPr>
        <w:t xml:space="preserve">results/calibration_generalization/calibration_variants/variant_feasibility_report.md</w:t>
      </w:r>
      <w:r>
        <w:t xml:space="preserve">); the PASS-LIMITED Phase 1 result does not meet the threshold for full variant testing. Shrinkage would not require a</w:t>
      </w:r>
      <w:r>
        <w:t xml:space="preserve"> </w:t>
      </w:r>
      <w:r>
        <w:rPr>
          <w:rStyle w:val="VerbatimChar"/>
        </w:rPr>
        <w:t xml:space="preserve">src/</w:t>
      </w:r>
      <w:r>
        <w:t xml:space="preserve"> </w:t>
      </w:r>
      <w:r>
        <w:t xml:space="preserve">modification; learnable affine would, and at n ≈ 30 LOOCV-train labels carries a substantial over-fit risk. The feasibility report records the decision and the design space.</w:t>
      </w:r>
    </w:p>
    <w:bookmarkEnd w:id="85"/>
    <w:bookmarkStart w:id="86" w:name="Xdf02c89e351d72291641e81db579f2ee0ee8b3c"/>
    <w:p>
      <w:pPr>
        <w:pStyle w:val="Heading3"/>
      </w:pPr>
      <w:r>
        <w:t xml:space="preserve">S11.4 Table S11 — calibration-generalisation experiments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Experiment</w:t>
            </w:r>
          </w:p>
        </w:tc>
        <w:tc>
          <w:tcPr/>
          <w:p>
            <w:pPr>
              <w:pStyle w:val="Compact"/>
              <w:jc w:val="left"/>
            </w:pPr>
            <w:r>
              <w:t xml:space="preserve">Setting</w:t>
            </w:r>
          </w:p>
        </w:tc>
        <w:tc>
          <w:tcPr/>
          <w:p>
            <w:pPr>
              <w:pStyle w:val="Compact"/>
              <w:jc w:val="left"/>
            </w:pPr>
            <w:r>
              <w:t xml:space="preserve">n_target</w:t>
            </w:r>
          </w:p>
        </w:tc>
        <w:tc>
          <w:tcPr/>
          <w:p>
            <w:pPr>
              <w:pStyle w:val="Compact"/>
              <w:jc w:val="left"/>
            </w:pPr>
            <w:r>
              <w:t xml:space="preserve">Comparison</w:t>
            </w:r>
          </w:p>
        </w:tc>
        <w:tc>
          <w:tcPr/>
          <w:p>
            <w:pPr>
              <w:pStyle w:val="Compact"/>
              <w:jc w:val="left"/>
            </w:pPr>
            <w:r>
              <w:t xml:space="preserve">ΔMAE (eV)</w:t>
            </w:r>
          </w:p>
        </w:tc>
        <w:tc>
          <w:tcPr/>
          <w:p>
            <w:pPr>
              <w:pStyle w:val="Compact"/>
              <w:jc w:val="left"/>
            </w:pPr>
            <w:r>
              <w:t xml:space="preserve">Wilcoxon p</w:t>
            </w:r>
          </w:p>
        </w:tc>
        <w:tc>
          <w:tcPr/>
          <w:p>
            <w:pPr>
              <w:pStyle w:val="Compact"/>
              <w:jc w:val="left"/>
            </w:pPr>
            <w:r>
              <w:t xml:space="preserve">Outcome / interpretation</w:t>
            </w:r>
          </w:p>
        </w:tc>
      </w:tr>
      <w:tr>
        <w:tc>
          <w:tcPr/>
          <w:p>
            <w:pPr>
              <w:pStyle w:val="Compact"/>
              <w:jc w:val="left"/>
            </w:pPr>
            <w:r>
              <w:t xml:space="preserve">Phase 1 label-scale stress</w:t>
            </w:r>
          </w:p>
        </w:tc>
        <w:tc>
          <w:tcPr/>
          <w:p>
            <w:pPr>
              <w:pStyle w:val="Compact"/>
              <w:jc w:val="left"/>
            </w:pPr>
            <w:r>
              <w:t xml:space="preserve">5 clients, aggressive transforms</w:t>
            </w:r>
          </w:p>
        </w:tc>
        <w:tc>
          <w:tcPr/>
          <w:p>
            <w:pPr>
              <w:pStyle w:val="Compact"/>
              <w:jc w:val="left"/>
            </w:pPr>
            <w:r>
              <w:t xml:space="preserve">100</w:t>
            </w:r>
          </w:p>
        </w:tc>
        <w:tc>
          <w:tcPr/>
          <w:p>
            <w:pPr>
              <w:pStyle w:val="Compact"/>
              <w:jc w:val="left"/>
            </w:pPr>
            <w:r>
              <w:t xml:space="preserve">cal vs. FedPer</w:t>
            </w:r>
          </w:p>
        </w:tc>
        <w:tc>
          <w:tcPr/>
          <w:p>
            <w:pPr>
              <w:pStyle w:val="Compact"/>
              <w:jc w:val="left"/>
            </w:pPr>
            <w:r>
              <w:t xml:space="preserve">+0.010</w:t>
            </w:r>
          </w:p>
        </w:tc>
        <w:tc>
          <w:tcPr/>
          <w:p>
            <w:pPr>
              <w:pStyle w:val="Compact"/>
              <w:jc w:val="left"/>
            </w:pPr>
            <w:r>
              <w:t xml:space="preserve">0.73</w:t>
            </w:r>
          </w:p>
        </w:tc>
        <w:tc>
          <w:tcPr/>
          <w:p>
            <w:pPr>
              <w:pStyle w:val="Compact"/>
              <w:jc w:val="left"/>
            </w:pPr>
            <w:r>
              <w:t xml:space="preserve">no advantage over FedPer in this regime</w:t>
            </w:r>
          </w:p>
        </w:tc>
      </w:tr>
      <w:tr>
        <w:tc>
          <w:tcPr/>
          <w:p>
            <w:pPr>
              <w:pStyle w:val="Compact"/>
              <w:jc w:val="left"/>
            </w:pPr>
            <w:r>
              <w:t xml:space="preserve">Phase 1 label-scale stress</w:t>
            </w:r>
          </w:p>
        </w:tc>
        <w:tc>
          <w:tcPr/>
          <w:p>
            <w:pPr>
              <w:pStyle w:val="Compact"/>
              <w:jc w:val="left"/>
            </w:pPr>
            <w:r>
              <w:t xml:space="preserve">5 clients, aggressive transforms</w:t>
            </w:r>
          </w:p>
        </w:tc>
        <w:tc>
          <w:tcPr/>
          <w:p>
            <w:pPr>
              <w:pStyle w:val="Compact"/>
              <w:jc w:val="left"/>
            </w:pPr>
            <w:r>
              <w:t xml:space="preserve">100</w:t>
            </w:r>
          </w:p>
        </w:tc>
        <w:tc>
          <w:tcPr/>
          <w:p>
            <w:pPr>
              <w:pStyle w:val="Compact"/>
              <w:jc w:val="left"/>
            </w:pPr>
            <w:r>
              <w:t xml:space="preserve">cal vs. FedAvg</w:t>
            </w:r>
          </w:p>
        </w:tc>
        <w:tc>
          <w:tcPr/>
          <w:p>
            <w:pPr>
              <w:pStyle w:val="Compact"/>
              <w:jc w:val="left"/>
            </w:pPr>
            <w:r>
              <w:t xml:space="preserve">−0.043</w:t>
            </w:r>
          </w:p>
        </w:tc>
        <w:tc>
          <w:tcPr/>
          <w:p>
            <w:pPr>
              <w:pStyle w:val="Compact"/>
              <w:jc w:val="left"/>
            </w:pPr>
            <w:r>
              <w:t xml:space="preserve">0.008</w:t>
            </w:r>
          </w:p>
        </w:tc>
        <w:tc>
          <w:tcPr/>
          <w:p>
            <w:pPr>
              <w:pStyle w:val="Compact"/>
              <w:jc w:val="left"/>
            </w:pPr>
            <w:r>
              <w:t xml:space="preserve">improves over FedAvg (no encoder personalisation)</w:t>
            </w:r>
          </w:p>
        </w:tc>
      </w:tr>
      <w:tr>
        <w:tc>
          <w:tcPr/>
          <w:p>
            <w:pPr>
              <w:pStyle w:val="Compact"/>
              <w:jc w:val="left"/>
            </w:pPr>
            <w:r>
              <w:t xml:space="preserve">Phase 2 pseudo-task validation</w:t>
            </w:r>
          </w:p>
        </w:tc>
        <w:tc>
          <w:tcPr/>
          <w:p>
            <w:pPr>
              <w:pStyle w:val="Compact"/>
              <w:jc w:val="left"/>
            </w:pPr>
            <w:r>
              <w:t xml:space="preserve">10 label-quantile pseudo-targets</w:t>
            </w:r>
          </w:p>
        </w:tc>
        <w:tc>
          <w:tcPr/>
          <w:p>
            <w:pPr>
              <w:pStyle w:val="Compact"/>
              <w:jc w:val="left"/>
            </w:pPr>
            <w:r>
              <w:t xml:space="preserve">50</w:t>
            </w:r>
          </w:p>
        </w:tc>
        <w:tc>
          <w:tcPr/>
          <w:p>
            <w:pPr>
              <w:pStyle w:val="Compact"/>
              <w:jc w:val="left"/>
            </w:pPr>
            <w:r>
              <w:t xml:space="preserve">cal vs. FedPer</w:t>
            </w:r>
          </w:p>
        </w:tc>
        <w:tc>
          <w:tcPr/>
          <w:p>
            <w:pPr>
              <w:pStyle w:val="Compact"/>
              <w:jc w:val="left"/>
            </w:pPr>
            <w:r>
              <w:t xml:space="preserve">median −0.020</w:t>
            </w:r>
          </w:p>
        </w:tc>
        <w:tc>
          <w:tcPr/>
          <w:p>
            <w:pPr>
              <w:pStyle w:val="Compact"/>
              <w:jc w:val="left"/>
            </w:pPr>
            <w:r>
              <w:t xml:space="preserve">7/10 &lt; 0.001</w:t>
            </w:r>
          </w:p>
        </w:tc>
        <w:tc>
          <w:tcPr/>
          <w:p>
            <w:pPr>
              <w:pStyle w:val="Compact"/>
              <w:jc w:val="left"/>
            </w:pPr>
            <w:r>
              <w:t xml:space="preserve">improves 9/10 pseudo-targets</w:t>
            </w:r>
          </w:p>
        </w:tc>
      </w:tr>
      <w:tr>
        <w:tc>
          <w:tcPr/>
          <w:p>
            <w:pPr>
              <w:pStyle w:val="Compact"/>
              <w:jc w:val="left"/>
            </w:pPr>
            <w:r>
              <w:t xml:space="preserve">Phase 3 calibration variants</w:t>
            </w:r>
          </w:p>
        </w:tc>
        <w:tc>
          <w:tcPr/>
          <w:p>
            <w:pPr>
              <w:pStyle w:val="Compact"/>
              <w:jc w:val="left"/>
            </w:pPr>
            <w:r>
              <w:t xml:space="preserve">shrinkage / learnable affine</w:t>
            </w:r>
          </w:p>
        </w:tc>
        <w:tc>
          <w:tcPr/>
          <w:p>
            <w:pPr>
              <w:pStyle w:val="Compact"/>
              <w:jc w:val="left"/>
            </w:pPr>
            <w:r>
              <w:t xml:space="preserve">—</w:t>
            </w:r>
          </w:p>
        </w:tc>
        <w:tc>
          <w:tcPr/>
          <w:p>
            <w:pPr>
              <w:pStyle w:val="Compact"/>
              <w:jc w:val="left"/>
            </w:pPr>
            <w:r>
              <w:t xml:space="preserve">not run</w:t>
            </w:r>
          </w:p>
        </w:tc>
        <w:tc>
          <w:tcPr/>
          <w:p>
            <w:pPr>
              <w:pStyle w:val="Compact"/>
              <w:jc w:val="left"/>
            </w:pPr>
            <w:r>
              <w:t xml:space="preserve">—</w:t>
            </w:r>
          </w:p>
        </w:tc>
        <w:tc>
          <w:tcPr/>
          <w:p>
            <w:pPr>
              <w:pStyle w:val="Compact"/>
              <w:jc w:val="left"/>
            </w:pPr>
            <w:r>
              <w:t xml:space="preserve">—</w:t>
            </w:r>
          </w:p>
        </w:tc>
        <w:tc>
          <w:tcPr/>
          <w:p>
            <w:pPr>
              <w:pStyle w:val="Compact"/>
              <w:jc w:val="left"/>
            </w:pPr>
            <w:r>
              <w:t xml:space="preserve">feasibility report only</w:t>
            </w:r>
          </w:p>
        </w:tc>
      </w:tr>
    </w:tbl>
    <w:p>
      <w:pPr>
        <w:pStyle w:val="BodyText"/>
      </w:pPr>
      <w:r>
        <w:t xml:space="preserve">These are</w:t>
      </w:r>
      <w:r>
        <w:t xml:space="preserve"> </w:t>
      </w:r>
      <w:r>
        <w:rPr>
          <w:bCs/>
          <w:b/>
        </w:rPr>
        <w:t xml:space="preserve">controlled pseudo-federation tests, not real TADF targets</w:t>
      </w:r>
      <w:r>
        <w:t xml:space="preserve">.</w:t>
      </w:r>
    </w:p>
    <w:bookmarkEnd w:id="86"/>
    <w:bookmarkStart w:id="87" w:name="s11.5-summary"/>
    <w:p>
      <w:pPr>
        <w:pStyle w:val="Heading3"/>
      </w:pPr>
      <w:r>
        <w:t xml:space="preserve">S11.5 Summary</w:t>
      </w:r>
    </w:p>
    <w:p>
      <w:pPr>
        <w:pStyle w:val="FirstParagraph"/>
      </w:pPr>
      <w:r>
        <w:t xml:space="preserve">These controlled experiments strengthen the interpretation that task-specific calibration is useful in small-target heterogeneous settings, while the Phase 1 null result prevents a universal performance claim. We therefore present them as robustness evidence for the small-target reading of the main-text C-triplet result rather than as a claim of general superiority.</w:t>
      </w:r>
    </w:p>
    <w:p>
      <w:r>
        <w:pict>
          <v:rect style="width:0;height:1.5pt" o:hralign="center" o:hrstd="t" o:hr="t"/>
        </w:pict>
      </w:r>
    </w:p>
    <w:p>
      <w:pPr>
        <w:pStyle w:val="FirstParagraph"/>
      </w:pPr>
      <w:r>
        <w:rPr>
          <w:iCs/>
          <w:i/>
        </w:rPr>
        <w:t xml:space="preserve">End of Supporting Information.</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2026-05-20T06:29:01Z</dcterms:created>
  <dcterms:modified xsi:type="dcterms:W3CDTF">2026-05-20T06:29:01Z</dcterms:modified>
</cp:coreProperties>
</file>

<file path=docProps/custom.xml><?xml version="1.0" encoding="utf-8"?>
<Properties xmlns="http://schemas.openxmlformats.org/officeDocument/2006/custom-properties" xmlns:vt="http://schemas.openxmlformats.org/officeDocument/2006/docPropsVTypes"/>
</file>