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00000"/>
        </w:rPr>
        <w:t>ScholarHub 大数据主线与 AI 实践阶段执行总纲</w:t>
      </w:r>
    </w:p>
    <w:p>
      <w:pPr>
        <w:pStyle w:val="Subtitle"/>
        <w:widowControl/>
      </w:pPr>
      <w:r>
        <w:t>V2 完整实施指令包  数据科学与大数据技术专业  2026年10月19日</w:t>
      </w:r>
    </w:p>
    <w:p>
      <w:pPr>
        <w:widowControl/>
      </w:pPr>
      <w:r>
        <w:t>本版先让已有可信业务数据进入Spark处理与分析，再补充最小AI实践会话和新增事件。无需先完成全业务或新AI工作台；已有任务、教学提交、反馈和学习记录是第一批数据来源。总纲与S00至S13共15份DOCX，每份阶段指令可独立交给AI。</w:t>
      </w:r>
    </w:p>
    <w:p>
      <w:pPr>
        <w:widowControl/>
      </w:pPr>
      <w:r>
        <w:t>V2替代本目录旧版，阶段编号已重新分配。建议按6周组织完整交付，第4周争取主线贯通；时间是规划，不是已完成承诺。S11默认选做，实验与论文持续积累。</w:t>
      </w:r>
    </w:p>
    <w:p>
      <w:pPr>
        <w:pStyle w:val="Heading1"/>
      </w:pPr>
      <w:r>
        <w:rPr>
          <w:color w:val="000000"/>
        </w:rPr>
        <w:t>一 执行方式与范围</w:t>
      </w:r>
    </w:p>
    <w:p>
      <w:pPr>
        <w:widowControl/>
        <w:ind w:left="198" w:hanging="198"/>
      </w:pPr>
      <w:r>
        <w:t>1  先读本总纲，再单独上传S00，对AI说“只执行附件阶段，保护已有修改，完成验收和报告后停止”。每次只执行一个阶段，整包文件不等于自动执行授权。</w:t>
      </w:r>
    </w:p>
    <w:p>
      <w:pPr>
        <w:widowControl/>
        <w:ind w:left="198" w:hanging="198"/>
      </w:pPr>
      <w:r>
        <w:t>2  每阶段通过后由用户发送下一阶段。新对话提供上一报告或允许读取仓库报告；无源码访问先列缺少材料，不能凭文档想象实现。</w:t>
      </w:r>
    </w:p>
    <w:p>
      <w:pPr>
        <w:widowControl/>
        <w:ind w:left="198" w:hanging="198"/>
      </w:pPr>
      <w:r>
        <w:t>3  S01冻结具体数据、指标、API、持久化和评价契约。已明确批准的同一事项不重复审批；未批准变更、隔离库写入、收费模型、安装或凭证操作仍按实际授权处理。</w:t>
      </w:r>
    </w:p>
    <w:p>
      <w:pPr>
        <w:widowControl/>
        <w:ind w:left="198" w:hanging="198"/>
      </w:pPr>
      <w:r>
        <w:t>4  如已执行旧版阶段，S00先按内容与证据映射。新版报告建议放开发相关文档/阶段报告/AI大数据改造/V2，不覆盖旧报告，不因编号变化重复开发或回退代码。</w:t>
      </w:r>
    </w:p>
    <w:p>
      <w:pPr>
        <w:widowControl/>
        <w:ind w:left="198" w:hanging="198"/>
      </w:pPr>
      <w:r>
        <w:t>5  本次仅调整执行文档，没有执行业务代码、Spark作业或模型评价。历史方案、模板和测试报告均以当前源码及本轮运行证据核实。</w:t>
      </w:r>
    </w:p>
    <w:p>
      <w:pPr>
        <w:pStyle w:val="Heading1"/>
      </w:pPr>
      <w:r>
        <w:rPr>
          <w:color w:val="000000"/>
        </w:rPr>
        <w:t>二 当前基础与专业主线</w:t>
      </w:r>
    </w:p>
    <w:p>
      <w:pPr>
        <w:widowControl/>
      </w:pPr>
      <w:r>
        <w:t>编制时HEAD为9320d68，已有未提交节点结果模块化及文档差异。项目具有学习任务、教学提交反馈、Context与旧DAG运行和个人AI报告基础；统计主要是SQL聚合，尚无接通的Spark业务管道。WSL环境是否可用由S00核实。</w:t>
      </w:r>
    </w:p>
    <w:p>
      <w:pPr>
        <w:widowControl/>
      </w:pPr>
      <w:r>
        <w:t>专业核心是数据来源与质量、建模、Spark清洗关联、分析方法和实验验证；AI用于帮助实践和解释可追溯分析。MySQL保存业务事实和已发布结果，Spark处理批量数据，前端读取已发布批次。普通图表GET不启动离线作业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4082"/>
        <w:gridCol w:w="4195"/>
      </w:tblGrid>
      <w:tr>
        <w:trPr>
          <w:tblHeader/>
          <w:cantSplit/>
        </w:trPr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DCE6F1"/>
          </w:tcPr>
          <w:p>
            <w:pPr>
              <w:keepNext/>
              <w:spacing w:after="40" w:line="269" w:lineRule="auto"/>
              <w:jc w:val="center"/>
            </w:pPr>
            <w:r>
              <w:rPr>
                <w:b/>
                <w:color w:val="000000"/>
                <w:sz w:val="18"/>
              </w:rPr>
              <w:t>主线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DCE6F1"/>
          </w:tcPr>
          <w:p>
            <w:pPr>
              <w:keepNext/>
              <w:spacing w:after="40" w:line="269" w:lineRule="auto"/>
            </w:pPr>
            <w:r>
              <w:rPr>
                <w:b/>
                <w:color w:val="000000"/>
                <w:sz w:val="18"/>
              </w:rPr>
              <w:t>数据或行动</w:t>
            </w:r>
          </w:p>
        </w:tc>
        <w:tc>
          <w:tcPr>
            <w:tcW w:type="dxa" w:w="419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DCE6F1"/>
          </w:tcPr>
          <w:p>
            <w:pPr>
              <w:keepNext/>
              <w:spacing w:after="40" w:line="269" w:lineRule="auto"/>
            </w:pPr>
            <w:r>
              <w:rPr>
                <w:b/>
                <w:color w:val="000000"/>
                <w:sz w:val="18"/>
              </w:rPr>
              <w:t>完成标志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  <w:jc w:val="center"/>
            </w:pPr>
            <w:r>
              <w:rPr>
                <w:b w:val="0"/>
                <w:color w:val="000000"/>
                <w:sz w:val="18"/>
              </w:rPr>
              <w:t>已有业务与数据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18"/>
              </w:rPr>
              <w:t>项目 任务 提交版本 教师反馈 学习记录 AI请求</w:t>
            </w:r>
          </w:p>
        </w:tc>
        <w:tc>
          <w:tcPr>
            <w:tcW w:type="dxa" w:w="419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18"/>
              </w:rPr>
              <w:t>关联与权限正确 可抽取 可核对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  <w:jc w:val="center"/>
            </w:pPr>
            <w:r>
              <w:rPr>
                <w:b w:val="0"/>
                <w:color w:val="000000"/>
                <w:sz w:val="18"/>
              </w:rPr>
              <w:t>大数据核心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18"/>
              </w:rPr>
              <w:t>一致性快照 ODS DWD ADS 发布与专题分析</w:t>
            </w:r>
          </w:p>
        </w:tc>
        <w:tc>
          <w:tcPr>
            <w:tcW w:type="dxa" w:w="419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18"/>
              </w:rPr>
              <w:t>实际Spark结果 独立答案 初步规模证据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  <w:jc w:val="center"/>
            </w:pPr>
            <w:r>
              <w:rPr>
                <w:b w:val="0"/>
                <w:color w:val="000000"/>
                <w:sz w:val="18"/>
              </w:rPr>
              <w:t>AI联合主线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18"/>
              </w:rPr>
              <w:t>固定模板 等待提交 反馈恢复 新事件与建议应用</w:t>
            </w:r>
          </w:p>
        </w:tc>
        <w:tc>
          <w:tcPr>
            <w:tcW w:type="dxa" w:w="419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18"/>
              </w:rPr>
              <w:t>具体反馈与版本对应 新数据接入分析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  <w:jc w:val="center"/>
            </w:pPr>
            <w:r>
              <w:rPr>
                <w:b w:val="0"/>
                <w:color w:val="000000"/>
                <w:sz w:val="18"/>
              </w:rPr>
              <w:t>选做扩展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18"/>
              </w:rPr>
              <w:t>自然语言草案 或 项目启动第二模板</w:t>
            </w:r>
          </w:p>
        </w:tc>
        <w:tc>
          <w:tcPr>
            <w:tcW w:type="dxa" w:w="419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18"/>
              </w:rPr>
              <w:t>明确选择且核心已通过 不挤占实验论文</w:t>
            </w:r>
          </w:p>
        </w:tc>
      </w:tr>
    </w:tbl>
    <w:p>
      <w:pPr>
        <w:widowControl/>
        <w:spacing w:after="0"/>
      </w:pPr>
    </w:p>
    <w:p>
      <w:pPr>
        <w:pStyle w:val="Heading1"/>
      </w:pPr>
      <w:r>
        <w:rPr>
          <w:color w:val="000000"/>
        </w:rPr>
        <w:t>三 新版阶段顺序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5953"/>
        <w:gridCol w:w="3005"/>
      </w:tblGrid>
      <w:tr>
        <w:trPr>
          <w:tblHeader/>
          <w:cantSplit/>
        </w:trPr>
        <w:tc>
          <w:tcPr>
            <w:tcW w:type="dxa" w:w="7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DCE6F1"/>
          </w:tcPr>
          <w:p>
            <w:pPr>
              <w:keepNext/>
              <w:spacing w:after="40" w:line="269" w:lineRule="auto"/>
              <w:jc w:val="center"/>
            </w:pPr>
            <w:r>
              <w:rPr>
                <w:b/>
                <w:color w:val="000000"/>
                <w:sz w:val="18"/>
              </w:rPr>
              <w:t>编号</w:t>
            </w:r>
          </w:p>
        </w:tc>
        <w:tc>
          <w:tcPr>
            <w:tcW w:type="dxa" w:w="59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DCE6F1"/>
          </w:tcPr>
          <w:p>
            <w:pPr>
              <w:keepNext/>
              <w:spacing w:after="40" w:line="269" w:lineRule="auto"/>
            </w:pPr>
            <w:r>
              <w:rPr>
                <w:b/>
                <w:color w:val="000000"/>
                <w:sz w:val="18"/>
              </w:rPr>
              <w:t>阶段内容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DCE6F1"/>
          </w:tcPr>
          <w:p>
            <w:pPr>
              <w:keepNext/>
              <w:spacing w:after="40" w:line="269" w:lineRule="auto"/>
            </w:pPr>
            <w:r>
              <w:rPr>
                <w:b/>
                <w:color w:val="000000"/>
                <w:sz w:val="18"/>
              </w:rPr>
              <w:t>建议时间</w:t>
            </w:r>
          </w:p>
        </w:tc>
      </w:tr>
      <w:tr>
        <w:trPr>
          <w:cantSplit/>
        </w:trPr>
        <w:tc>
          <w:tcPr>
            <w:tcW w:type="dxa" w:w="7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  <w:jc w:val="center"/>
            </w:pPr>
            <w:r>
              <w:rPr>
                <w:b w:val="0"/>
                <w:color w:val="000000"/>
                <w:sz w:val="18"/>
              </w:rPr>
              <w:t>S00</w:t>
            </w:r>
          </w:p>
        </w:tc>
        <w:tc>
          <w:tcPr>
            <w:tcW w:type="dxa" w:w="59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18"/>
              </w:rPr>
              <w:t>现状扫描与核心业务数据基线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18"/>
              </w:rPr>
              <w:t>第1周前段</w:t>
            </w:r>
          </w:p>
        </w:tc>
      </w:tr>
      <w:tr>
        <w:trPr>
          <w:cantSplit/>
        </w:trPr>
        <w:tc>
          <w:tcPr>
            <w:tcW w:type="dxa" w:w="7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  <w:jc w:val="center"/>
            </w:pPr>
            <w:r>
              <w:rPr>
                <w:b w:val="0"/>
                <w:color w:val="000000"/>
                <w:sz w:val="18"/>
              </w:rPr>
              <w:t>S01</w:t>
            </w:r>
          </w:p>
        </w:tc>
        <w:tc>
          <w:tcPr>
            <w:tcW w:type="dxa" w:w="59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18"/>
              </w:rPr>
              <w:t>毕设范围数据指标与评价契约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18"/>
              </w:rPr>
              <w:t>第1周前段</w:t>
            </w:r>
          </w:p>
        </w:tc>
      </w:tr>
      <w:tr>
        <w:trPr>
          <w:cantSplit/>
        </w:trPr>
        <w:tc>
          <w:tcPr>
            <w:tcW w:type="dxa" w:w="7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  <w:jc w:val="center"/>
            </w:pPr>
            <w:r>
              <w:rPr>
                <w:b w:val="0"/>
                <w:color w:val="000000"/>
                <w:sz w:val="18"/>
              </w:rPr>
              <w:t>S02</w:t>
            </w:r>
          </w:p>
        </w:tc>
        <w:tc>
          <w:tcPr>
            <w:tcW w:type="dxa" w:w="59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18"/>
              </w:rPr>
              <w:t>现有业务最小闭环与数据契约落实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18"/>
              </w:rPr>
              <w:t>第1周后段</w:t>
            </w:r>
          </w:p>
        </w:tc>
      </w:tr>
      <w:tr>
        <w:trPr>
          <w:cantSplit/>
        </w:trPr>
        <w:tc>
          <w:tcPr>
            <w:tcW w:type="dxa" w:w="7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  <w:jc w:val="center"/>
            </w:pPr>
            <w:r>
              <w:rPr>
                <w:b w:val="0"/>
                <w:color w:val="000000"/>
                <w:sz w:val="18"/>
              </w:rPr>
              <w:t>S03</w:t>
            </w:r>
          </w:p>
        </w:tc>
        <w:tc>
          <w:tcPr>
            <w:tcW w:type="dxa" w:w="59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18"/>
              </w:rPr>
              <w:t>多源一致性快照与实验样本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18"/>
              </w:rPr>
              <w:t>第1至2周</w:t>
            </w:r>
          </w:p>
        </w:tc>
      </w:tr>
      <w:tr>
        <w:trPr>
          <w:cantSplit/>
        </w:trPr>
        <w:tc>
          <w:tcPr>
            <w:tcW w:type="dxa" w:w="7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  <w:jc w:val="center"/>
            </w:pPr>
            <w:r>
              <w:rPr>
                <w:b w:val="0"/>
                <w:color w:val="000000"/>
                <w:sz w:val="18"/>
              </w:rPr>
              <w:t>S04</w:t>
            </w:r>
          </w:p>
        </w:tc>
        <w:tc>
          <w:tcPr>
            <w:tcW w:type="dxa" w:w="59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18"/>
              </w:rPr>
              <w:t>PySpark 清洗关联与指标聚合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18"/>
              </w:rPr>
              <w:t>第2周</w:t>
            </w:r>
          </w:p>
        </w:tc>
      </w:tr>
      <w:tr>
        <w:trPr>
          <w:cantSplit/>
        </w:trPr>
        <w:tc>
          <w:tcPr>
            <w:tcW w:type="dxa" w:w="7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  <w:jc w:val="center"/>
            </w:pPr>
            <w:r>
              <w:rPr>
                <w:b w:val="0"/>
                <w:color w:val="000000"/>
                <w:sz w:val="18"/>
              </w:rPr>
              <w:t>S05</w:t>
            </w:r>
          </w:p>
        </w:tc>
        <w:tc>
          <w:tcPr>
            <w:tcW w:type="dxa" w:w="59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18"/>
              </w:rPr>
              <w:t>分析批次发布与只读接口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18"/>
              </w:rPr>
              <w:t>第2至3周</w:t>
            </w:r>
          </w:p>
        </w:tc>
      </w:tr>
      <w:tr>
        <w:trPr>
          <w:cantSplit/>
        </w:trPr>
        <w:tc>
          <w:tcPr>
            <w:tcW w:type="dxa" w:w="7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  <w:jc w:val="center"/>
            </w:pPr>
            <w:r>
              <w:rPr>
                <w:b w:val="0"/>
                <w:color w:val="000000"/>
                <w:sz w:val="18"/>
              </w:rPr>
              <w:t>S06</w:t>
            </w:r>
          </w:p>
        </w:tc>
        <w:tc>
          <w:tcPr>
            <w:tcW w:type="dxa" w:w="59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18"/>
              </w:rPr>
              <w:t>学习过程洞察与大数据主线验收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18"/>
              </w:rPr>
              <w:t>第3周</w:t>
            </w:r>
          </w:p>
        </w:tc>
      </w:tr>
      <w:tr>
        <w:trPr>
          <w:cantSplit/>
        </w:trPr>
        <w:tc>
          <w:tcPr>
            <w:tcW w:type="dxa" w:w="7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  <w:jc w:val="center"/>
            </w:pPr>
            <w:r>
              <w:rPr>
                <w:b w:val="0"/>
                <w:color w:val="000000"/>
                <w:sz w:val="18"/>
              </w:rPr>
              <w:t>S07</w:t>
            </w:r>
          </w:p>
        </w:tc>
        <w:tc>
          <w:tcPr>
            <w:tcW w:type="dxa" w:w="59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18"/>
              </w:rPr>
              <w:t>最小AI实践会话与单步执行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18"/>
              </w:rPr>
              <w:t>第3周后段</w:t>
            </w:r>
          </w:p>
        </w:tc>
      </w:tr>
      <w:tr>
        <w:trPr>
          <w:cantSplit/>
        </w:trPr>
        <w:tc>
          <w:tcPr>
            <w:tcW w:type="dxa" w:w="7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  <w:jc w:val="center"/>
            </w:pPr>
            <w:r>
              <w:rPr>
                <w:b w:val="0"/>
                <w:color w:val="000000"/>
                <w:sz w:val="18"/>
              </w:rPr>
              <w:t>S08</w:t>
            </w:r>
          </w:p>
        </w:tc>
        <w:tc>
          <w:tcPr>
            <w:tcW w:type="dxa" w:w="59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18"/>
              </w:rPr>
              <w:t>提交评审恢复与早期AI质量验收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18"/>
              </w:rPr>
              <w:t>第3至4周</w:t>
            </w:r>
          </w:p>
        </w:tc>
      </w:tr>
      <w:tr>
        <w:trPr>
          <w:cantSplit/>
        </w:trPr>
        <w:tc>
          <w:tcPr>
            <w:tcW w:type="dxa" w:w="7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  <w:jc w:val="center"/>
            </w:pPr>
            <w:r>
              <w:rPr>
                <w:b w:val="0"/>
                <w:color w:val="000000"/>
                <w:sz w:val="18"/>
              </w:rPr>
              <w:t>S09</w:t>
            </w:r>
          </w:p>
        </w:tc>
        <w:tc>
          <w:tcPr>
            <w:tcW w:type="dxa" w:w="59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18"/>
              </w:rPr>
              <w:t>项目准备与步骤式实践工作台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18"/>
              </w:rPr>
              <w:t>第4周</w:t>
            </w:r>
          </w:p>
        </w:tc>
      </w:tr>
      <w:tr>
        <w:trPr>
          <w:cantSplit/>
        </w:trPr>
        <w:tc>
          <w:tcPr>
            <w:tcW w:type="dxa" w:w="7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  <w:jc w:val="center"/>
            </w:pPr>
            <w:r>
              <w:rPr>
                <w:b w:val="0"/>
                <w:color w:val="000000"/>
                <w:sz w:val="18"/>
              </w:rPr>
              <w:t>S10</w:t>
            </w:r>
          </w:p>
        </w:tc>
        <w:tc>
          <w:tcPr>
            <w:tcW w:type="dxa" w:w="59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18"/>
              </w:rPr>
              <w:t>新增实践事件分析与建议应用闭环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18"/>
              </w:rPr>
              <w:t>第4至5周</w:t>
            </w:r>
          </w:p>
        </w:tc>
      </w:tr>
      <w:tr>
        <w:trPr>
          <w:cantSplit/>
        </w:trPr>
        <w:tc>
          <w:tcPr>
            <w:tcW w:type="dxa" w:w="7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  <w:jc w:val="center"/>
            </w:pPr>
            <w:r>
              <w:rPr>
                <w:b w:val="0"/>
                <w:color w:val="000000"/>
                <w:sz w:val="18"/>
              </w:rPr>
              <w:t>S11</w:t>
            </w:r>
          </w:p>
        </w:tc>
        <w:tc>
          <w:tcPr>
            <w:tcW w:type="dxa" w:w="59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18"/>
              </w:rPr>
              <w:t>可选自然语言草案与项目启动模板 选做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18"/>
              </w:rPr>
              <w:t>选做 仅限实验论文时间有余量</w:t>
            </w:r>
          </w:p>
        </w:tc>
      </w:tr>
      <w:tr>
        <w:trPr>
          <w:cantSplit/>
        </w:trPr>
        <w:tc>
          <w:tcPr>
            <w:tcW w:type="dxa" w:w="7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  <w:jc w:val="center"/>
            </w:pPr>
            <w:r>
              <w:rPr>
                <w:b w:val="0"/>
                <w:color w:val="000000"/>
                <w:sz w:val="18"/>
              </w:rPr>
              <w:t>S12</w:t>
            </w:r>
          </w:p>
        </w:tc>
        <w:tc>
          <w:tcPr>
            <w:tcW w:type="dxa" w:w="59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18"/>
              </w:rPr>
              <w:t>综合验收与对照实验复验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18"/>
              </w:rPr>
              <w:t>第5至6周 评价集从第1周积累</w:t>
            </w:r>
          </w:p>
        </w:tc>
      </w:tr>
      <w:tr>
        <w:trPr>
          <w:cantSplit/>
        </w:trPr>
        <w:tc>
          <w:tcPr>
            <w:tcW w:type="dxa" w:w="7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  <w:jc w:val="center"/>
            </w:pPr>
            <w:r>
              <w:rPr>
                <w:b w:val="0"/>
                <w:color w:val="000000"/>
                <w:sz w:val="18"/>
              </w:rPr>
              <w:t>S13</w:t>
            </w:r>
          </w:p>
        </w:tc>
        <w:tc>
          <w:tcPr>
            <w:tcW w:type="dxa" w:w="59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18"/>
              </w:rPr>
              <w:t>论文答辩与最终交接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18"/>
              </w:rPr>
              <w:t>第6周 材料持续积累</w:t>
            </w:r>
          </w:p>
        </w:tc>
      </w:tr>
    </w:tbl>
    <w:p>
      <w:pPr>
        <w:widowControl/>
        <w:spacing w:after="0"/>
      </w:pPr>
    </w:p>
    <w:p>
      <w:pPr>
        <w:widowControl/>
      </w:pPr>
      <w:r>
        <w:t>必做执行路径为S00→S01→S02→S03→S04→S05→S06→S07→S08→S09→S10→S12→S13。S11只有用户明确选择才在S10之后执行；跳过S11直接进入S12，不因第二模板未做阻塞验收。</w:t>
      </w:r>
    </w:p>
    <w:p>
      <w:pPr>
        <w:widowControl/>
      </w:pPr>
      <w:r>
        <w:t>S02只补影响所选数据链的业务阻塞，已有正确能力直接复用。S03至S06只依赖现有业务数据，不等待S07至S11；新增实践事件在S08产生、S10按版本接入。S12可以先复验已完成的大数据核心，联合主线完成仍需S10及模型质量证据。</w:t>
      </w:r>
    </w:p>
    <w:p>
      <w:pPr>
        <w:pStyle w:val="Heading1"/>
      </w:pPr>
      <w:r>
        <w:rPr>
          <w:color w:val="000000"/>
        </w:rPr>
        <w:t>四 周门槛与收缩规则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4535"/>
        <w:gridCol w:w="4082"/>
      </w:tblGrid>
      <w:tr>
        <w:trPr>
          <w:tblHeader/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DCE6F1"/>
          </w:tcPr>
          <w:p>
            <w:pPr>
              <w:keepNext/>
              <w:spacing w:after="40" w:line="269" w:lineRule="auto"/>
              <w:jc w:val="center"/>
            </w:pPr>
            <w:r>
              <w:rPr>
                <w:b/>
                <w:color w:val="000000"/>
                <w:sz w:val="18"/>
              </w:rPr>
              <w:t>时点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DCE6F1"/>
          </w:tcPr>
          <w:p>
            <w:pPr>
              <w:keepNext/>
              <w:spacing w:after="40" w:line="269" w:lineRule="auto"/>
            </w:pPr>
            <w:r>
              <w:rPr>
                <w:b/>
                <w:color w:val="000000"/>
                <w:sz w:val="18"/>
              </w:rPr>
              <w:t>必须看到的结果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DCE6F1"/>
          </w:tcPr>
          <w:p>
            <w:pPr>
              <w:keepNext/>
              <w:spacing w:after="40" w:line="269" w:lineRule="auto"/>
            </w:pPr>
            <w:r>
              <w:rPr>
                <w:b/>
                <w:color w:val="000000"/>
                <w:sz w:val="18"/>
              </w:rPr>
              <w:t>未达到时的动作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  <w:jc w:val="center"/>
            </w:pPr>
            <w:r>
              <w:rPr>
                <w:b w:val="0"/>
                <w:color w:val="000000"/>
                <w:sz w:val="18"/>
              </w:rPr>
              <w:t>第1周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18"/>
              </w:rPr>
              <w:t>S00/S01确定范围与答案 S02核心数据可用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18"/>
              </w:rPr>
              <w:t>只修数据阻塞 不扩外围业务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  <w:jc w:val="center"/>
            </w:pPr>
            <w:r>
              <w:rPr>
                <w:b w:val="0"/>
                <w:color w:val="000000"/>
                <w:sz w:val="18"/>
              </w:rPr>
              <w:t>第2周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18"/>
              </w:rPr>
              <w:t>S03固定快照 S04实际Spark与独立答案一致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18"/>
              </w:rPr>
              <w:t>冻结选做 缩小指标数 保留正确性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  <w:jc w:val="center"/>
            </w:pPr>
            <w:r>
              <w:rPr>
                <w:b w:val="0"/>
                <w:color w:val="000000"/>
                <w:sz w:val="18"/>
              </w:rPr>
              <w:t>第3周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18"/>
              </w:rPr>
              <w:t>S05/S06完成发布图表 专题分析与初步规模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18"/>
              </w:rPr>
              <w:t>先保数据闭环 不以新AI页面阻塞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  <w:jc w:val="center"/>
            </w:pPr>
            <w:r>
              <w:rPr>
                <w:b w:val="0"/>
                <w:color w:val="000000"/>
                <w:sz w:val="18"/>
              </w:rPr>
              <w:t>第4周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18"/>
              </w:rPr>
              <w:t>S07至S10最小联合主线和早期模型评价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18"/>
              </w:rPr>
              <w:t>去掉自由草案与第二模板 明列质量缺口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  <w:jc w:val="center"/>
            </w:pPr>
            <w:r>
              <w:rPr>
                <w:b w:val="0"/>
                <w:color w:val="000000"/>
                <w:sz w:val="18"/>
              </w:rPr>
              <w:t>第5至6周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18"/>
              </w:rPr>
              <w:t>S12复验与实验 S13论文和可复现演示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18"/>
              </w:rPr>
              <w:t>不新增功能 不用未测量结果补成绩</w:t>
            </w:r>
          </w:p>
        </w:tc>
      </w:tr>
    </w:tbl>
    <w:p>
      <w:pPr>
        <w:widowControl/>
        <w:spacing w:after="0"/>
      </w:pPr>
    </w:p>
    <w:p>
      <w:pPr>
        <w:widowControl/>
      </w:pPr>
      <w:r>
        <w:t>四周检查时只完成S06，可交付“大数据核心已验收、AI联合未完成”的准确状态；不能标整包完成。完整目标保留最小AI闭环，优先砍S11、复杂流程调整和过多图表，不删除专业核心实验或降低质量门槛。</w:t>
      </w:r>
    </w:p>
    <w:p>
      <w:pPr>
        <w:pStyle w:val="Heading1"/>
      </w:pPr>
      <w:r>
        <w:rPr>
          <w:color w:val="000000"/>
        </w:rPr>
        <w:t>五 数据专题与独立验证</w:t>
      </w:r>
    </w:p>
    <w:p>
      <w:pPr>
        <w:widowControl/>
      </w:pPr>
      <w:r>
        <w:t>首个专题推荐实践提交修订与验收进展。先以已有提交版本、教师反馈、任务与学习记录定义固定群组和快照截止状态，再在新增事件存在后分析验收项与修改的对应。问题、方法、指标、参考答案和适用结论在S01固定；只有总数或sum演示不能独立承担全部专业论证。</w:t>
      </w:r>
    </w:p>
    <w:p>
      <w:pPr>
        <w:widowControl/>
        <w:ind w:left="198" w:hanging="198"/>
      </w:pPr>
      <w:r>
        <w:t>1  首版控制为三类指标：已记录分钟/活跃日与可信来源作为背景；按计划日期任务完成及截至快照的逾期未完；同群组提交修订和教师确认过程。具体公式和阈值以S01契约为准，不临时让模型决定。</w:t>
      </w:r>
    </w:p>
    <w:p>
      <w:pPr>
        <w:widowControl/>
        <w:ind w:left="198" w:hanging="198"/>
      </w:pPr>
      <w:r>
        <w:t>2  原学习记录可修改删除且无updated_at，采用完整窗口一致性快照；状态快照只反映采集时事实，不重建未保存的历史状态或动作。可信来源由ACCEPT Feedback关系派生，不相信JSON.source。</w:t>
      </w:r>
    </w:p>
    <w:p>
      <w:pPr>
        <w:widowControl/>
        <w:ind w:left="198" w:hanging="198"/>
      </w:pPr>
      <w:r>
        <w:t>3  NULL时长与0分开，199/200保留99.5%，无任务为无样本，取消任务首版计入任务分母且另列数量。UTC按Asia/Shanghai归属业务日，DATE不二次转换，跨源窗口与截止语义固定。</w:t>
      </w:r>
    </w:p>
    <w:p>
      <w:pPr>
        <w:widowControl/>
        <w:ind w:left="198" w:hanging="198"/>
      </w:pPr>
      <w:r>
        <w:t>4  同主键同内容可去重，同主键冲突隔离；质量报告保留有效、重复、缺失和冲突数量。明细与汇总使用显式Schema，批次元信息包含source_cutoff、数据/规则版本、质量和来源类型。</w:t>
      </w:r>
    </w:p>
    <w:p>
      <w:pPr>
        <w:widowControl/>
        <w:ind w:left="198" w:hanging="198"/>
      </w:pPr>
      <w:r>
        <w:t>5  S03准备小样本与独立预期答案；S04实际运行Spark验证；S06开始同口径规模/分析实验；S12汇总复验。按硬件选择1万/10万/100万档，记录字节、分区、版本、冷热启动和原始耗时，不保证Spark小数据更快。</w:t>
      </w:r>
    </w:p>
    <w:p>
      <w:pPr>
        <w:widowControl/>
        <w:ind w:left="198" w:hanging="198"/>
      </w:pPr>
      <w:r>
        <w:t>6  真实案例和独立多主体合成规模集分开，不向业务库灌模拟数据。单机local参数如实记录，不能称多机集群或真实校园规模；具体算法/集群要求以已提供任务书为准。</w:t>
      </w:r>
    </w:p>
    <w:p>
      <w:pPr>
        <w:widowControl/>
        <w:ind w:left="198" w:hanging="198"/>
      </w:pPr>
      <w:r>
        <w:t>7  已完成快照与发布批次不可覆盖，重算新建批次，发布失败保留上一成功结果。本人范围由认证确定，空批次也有所有者；分析不包含代码、密钥、原始提示或教师评语正文。</w:t>
      </w:r>
    </w:p>
    <w:p>
      <w:pPr>
        <w:pStyle w:val="Heading1"/>
      </w:pPr>
      <w:r>
        <w:rPr>
          <w:color w:val="000000"/>
        </w:rPr>
        <w:t>六 AI质量与页面职责</w:t>
      </w:r>
    </w:p>
    <w:p>
      <w:pPr>
        <w:widowControl/>
      </w:pPr>
      <w:r>
        <w:t>首版固定Python学习记录CSV清洗模板。学生本地运行，平台静态评审并可核对固定输出值；当前任务、提交版本、反馈和验收项分别绑定。首次正确可以完成，多次修改用于验证恢复机制，不能强制制造一次失败。</w:t>
      </w:r>
    </w:p>
    <w:p>
      <w:pPr>
        <w:widowControl/>
        <w:ind w:left="198" w:hanging="198"/>
      </w:pPr>
      <w:r>
        <w:t>1  S01先定义12至20个正确、错误、信息不足案例，以及参考答案、评分人、单位、分母和S08质量门槛。只有明确预算授权后才运行真实模型；S08就评价反馈质量，S12不作为首次验证。</w:t>
      </w:r>
    </w:p>
    <w:p>
      <w:pPr>
        <w:widowControl/>
        <w:ind w:left="198" w:hanging="198"/>
      </w:pPr>
      <w:r>
        <w:t>2  Fake/Mock只证明绑定、状态和交互。未运行真实模型时，工程证据可以交付，AI质量保持未验收；不能把使用效果或教师通过写成模型输出的自动结论。</w:t>
      </w:r>
    </w:p>
    <w:p>
      <w:pPr>
        <w:widowControl/>
        <w:ind w:left="198" w:hanging="198"/>
      </w:pPr>
      <w:r>
        <w:t>3  项目准备页维护目标、已定技术、材料和版本；步骤工作台组织当前任务、提交反馈和成果；数据页解释同一已发布批次。旧路由、历史结果和高级画布兼容，冻结无关新增能力。</w:t>
      </w:r>
    </w:p>
    <w:p>
      <w:pPr>
        <w:widowControl/>
        <w:ind w:left="198" w:hanging="198"/>
      </w:pPr>
      <w:r>
        <w:t>4  候选成果与建议显示来源、差异和影响，用户确认后才写Context或创建任务；新批次不静默改写旧报告。复用已有个人学习报告的事实保护，不另造重复报告系统。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57"/>
        <w:gridCol w:w="3969"/>
        <w:gridCol w:w="4025"/>
      </w:tblGrid>
      <w:tr>
        <w:trPr>
          <w:tblHeader/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DCE6F1"/>
          </w:tcPr>
          <w:p>
            <w:pPr>
              <w:keepNext/>
              <w:spacing w:after="40" w:line="269" w:lineRule="auto"/>
              <w:jc w:val="center"/>
            </w:pPr>
            <w:r>
              <w:rPr>
                <w:b/>
                <w:color w:val="000000"/>
                <w:sz w:val="18"/>
              </w:rPr>
              <w:t>证据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DCE6F1"/>
          </w:tcPr>
          <w:p>
            <w:pPr>
              <w:keepNext/>
              <w:spacing w:after="40" w:line="269" w:lineRule="auto"/>
            </w:pPr>
            <w:r>
              <w:rPr>
                <w:b/>
                <w:color w:val="000000"/>
                <w:sz w:val="18"/>
              </w:rPr>
              <w:t>可以说明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DCE6F1"/>
          </w:tcPr>
          <w:p>
            <w:pPr>
              <w:keepNext/>
              <w:spacing w:after="40" w:line="269" w:lineRule="auto"/>
            </w:pPr>
            <w:r>
              <w:rPr>
                <w:b/>
                <w:color w:val="000000"/>
                <w:sz w:val="18"/>
              </w:rPr>
              <w:t>需另行证明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  <w:jc w:val="center"/>
            </w:pPr>
            <w:r>
              <w:rPr>
                <w:b w:val="0"/>
                <w:color w:val="000000"/>
                <w:sz w:val="18"/>
              </w:rPr>
              <w:t>自我确认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18"/>
              </w:rPr>
              <w:t>学生声明完成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18"/>
              </w:rPr>
              <w:t>代码正确与学习掌握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  <w:jc w:val="center"/>
            </w:pPr>
            <w:r>
              <w:rPr>
                <w:b w:val="0"/>
                <w:color w:val="000000"/>
                <w:sz w:val="18"/>
              </w:rPr>
              <w:t>固定输出核对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18"/>
              </w:rPr>
              <w:t>本次输出符合指定样例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18"/>
              </w:rPr>
              <w:t>平台执行了学生代码或全部测试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  <w:jc w:val="center"/>
            </w:pPr>
            <w:r>
              <w:rPr>
                <w:b w:val="0"/>
                <w:color w:val="000000"/>
                <w:sz w:val="18"/>
              </w:rPr>
              <w:t>AI静态评审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18"/>
              </w:rPr>
              <w:t>模型作出本次判断与建议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18"/>
              </w:rPr>
              <w:t>教师认可和实际教学效果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  <w:jc w:val="center"/>
            </w:pPr>
            <w:r>
              <w:rPr>
                <w:b w:val="0"/>
                <w:color w:val="000000"/>
                <w:sz w:val="18"/>
              </w:rPr>
              <w:t>教师确认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18"/>
              </w:rPr>
              <w:t>授权教师认可该次提交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18"/>
              </w:rPr>
              <w:t>平台自动执行或普遍能力提高</w:t>
            </w:r>
          </w:p>
        </w:tc>
      </w:tr>
    </w:tbl>
    <w:p>
      <w:pPr>
        <w:widowControl/>
        <w:spacing w:after="0"/>
      </w:pPr>
    </w:p>
    <w:p>
      <w:pPr>
        <w:pStyle w:val="Heading1"/>
      </w:pPr>
      <w:r>
        <w:rPr>
          <w:color w:val="000000"/>
        </w:rPr>
        <w:t>七 旧版内容迁移对照</w:t>
      </w:r>
    </w:p>
    <w:p>
      <w:pPr>
        <w:widowControl/>
      </w:pPr>
      <w:r>
        <w:t>下表按内容映射，不是继续执行旧编号的许可。所有原始报告保留，已有实现经当前验收后复用。新版S02为独立的数据主线门槛。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8"/>
        <w:gridCol w:w="6293"/>
      </w:tblGrid>
      <w:tr>
        <w:trPr>
          <w:tblHeader/>
          <w:cantSplit/>
        </w:trPr>
        <w:tc>
          <w:tcPr>
            <w:tcW w:type="dxa" w:w="34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DCE6F1"/>
          </w:tcPr>
          <w:p>
            <w:pPr>
              <w:keepNext/>
              <w:spacing w:after="40" w:line="269" w:lineRule="auto"/>
              <w:jc w:val="center"/>
            </w:pPr>
            <w:r>
              <w:rPr>
                <w:b/>
                <w:color w:val="000000"/>
                <w:sz w:val="18"/>
              </w:rPr>
              <w:t>旧版内容</w:t>
            </w:r>
          </w:p>
        </w:tc>
        <w:tc>
          <w:tcPr>
            <w:tcW w:type="dxa" w:w="629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DCE6F1"/>
          </w:tcPr>
          <w:p>
            <w:pPr>
              <w:keepNext/>
              <w:spacing w:after="40" w:line="269" w:lineRule="auto"/>
            </w:pPr>
            <w:r>
              <w:rPr>
                <w:b/>
                <w:color w:val="000000"/>
                <w:sz w:val="18"/>
              </w:rPr>
              <w:t>新版位置</w:t>
            </w:r>
          </w:p>
        </w:tc>
      </w:tr>
      <w:tr>
        <w:trPr>
          <w:cantSplit/>
        </w:trPr>
        <w:tc>
          <w:tcPr>
            <w:tcW w:type="dxa" w:w="34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  <w:jc w:val="center"/>
            </w:pPr>
            <w:r>
              <w:rPr>
                <w:b w:val="0"/>
                <w:color w:val="000000"/>
                <w:sz w:val="18"/>
              </w:rPr>
              <w:t>S00现状基线</w:t>
            </w:r>
          </w:p>
        </w:tc>
        <w:tc>
          <w:tcPr>
            <w:tcW w:type="dxa" w:w="629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18"/>
              </w:rPr>
              <w:t>S00核心业务与数据基线</w:t>
            </w:r>
          </w:p>
        </w:tc>
      </w:tr>
      <w:tr>
        <w:trPr>
          <w:cantSplit/>
        </w:trPr>
        <w:tc>
          <w:tcPr>
            <w:tcW w:type="dxa" w:w="34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  <w:jc w:val="center"/>
            </w:pPr>
            <w:r>
              <w:rPr>
                <w:b w:val="0"/>
                <w:color w:val="000000"/>
                <w:sz w:val="18"/>
              </w:rPr>
              <w:t>S01全量契约</w:t>
            </w:r>
          </w:p>
        </w:tc>
        <w:tc>
          <w:tcPr>
            <w:tcW w:type="dxa" w:w="629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18"/>
              </w:rPr>
              <w:t>S01分段范围 数据与早期评价契约</w:t>
            </w:r>
          </w:p>
        </w:tc>
      </w:tr>
      <w:tr>
        <w:trPr>
          <w:cantSplit/>
        </w:trPr>
        <w:tc>
          <w:tcPr>
            <w:tcW w:type="dxa" w:w="34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  <w:jc w:val="center"/>
            </w:pPr>
            <w:r>
              <w:rPr>
                <w:b w:val="0"/>
                <w:color w:val="000000"/>
                <w:sz w:val="18"/>
              </w:rPr>
              <w:t>S02会话执行</w:t>
            </w:r>
          </w:p>
        </w:tc>
        <w:tc>
          <w:tcPr>
            <w:tcW w:type="dxa" w:w="629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18"/>
              </w:rPr>
              <w:t>S07固定模板最小会话</w:t>
            </w:r>
          </w:p>
        </w:tc>
      </w:tr>
      <w:tr>
        <w:trPr>
          <w:cantSplit/>
        </w:trPr>
        <w:tc>
          <w:tcPr>
            <w:tcW w:type="dxa" w:w="34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  <w:jc w:val="center"/>
            </w:pPr>
            <w:r>
              <w:rPr>
                <w:b w:val="0"/>
                <w:color w:val="000000"/>
                <w:sz w:val="18"/>
              </w:rPr>
              <w:t>S03草案与候选</w:t>
            </w:r>
          </w:p>
        </w:tc>
        <w:tc>
          <w:tcPr>
            <w:tcW w:type="dxa" w:w="629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18"/>
              </w:rPr>
              <w:t>S11选做草案 候选应用按S09/S10范围</w:t>
            </w:r>
          </w:p>
        </w:tc>
      </w:tr>
      <w:tr>
        <w:trPr>
          <w:cantSplit/>
        </w:trPr>
        <w:tc>
          <w:tcPr>
            <w:tcW w:type="dxa" w:w="34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  <w:jc w:val="center"/>
            </w:pPr>
            <w:r>
              <w:rPr>
                <w:b w:val="0"/>
                <w:color w:val="000000"/>
                <w:sz w:val="18"/>
              </w:rPr>
              <w:t>S04提交评审</w:t>
            </w:r>
          </w:p>
        </w:tc>
        <w:tc>
          <w:tcPr>
            <w:tcW w:type="dxa" w:w="629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18"/>
              </w:rPr>
              <w:t>S08提交恢复与早期质量评价</w:t>
            </w:r>
          </w:p>
        </w:tc>
      </w:tr>
      <w:tr>
        <w:trPr>
          <w:cantSplit/>
        </w:trPr>
        <w:tc>
          <w:tcPr>
            <w:tcW w:type="dxa" w:w="34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  <w:jc w:val="center"/>
            </w:pPr>
            <w:r>
              <w:rPr>
                <w:b w:val="0"/>
                <w:color w:val="000000"/>
                <w:sz w:val="18"/>
              </w:rPr>
              <w:t>S05项目准备 S06工作台</w:t>
            </w:r>
          </w:p>
        </w:tc>
        <w:tc>
          <w:tcPr>
            <w:tcW w:type="dxa" w:w="629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18"/>
              </w:rPr>
              <w:t>S09合并页面职责与真实接入</w:t>
            </w:r>
          </w:p>
        </w:tc>
      </w:tr>
      <w:tr>
        <w:trPr>
          <w:cantSplit/>
        </w:trPr>
        <w:tc>
          <w:tcPr>
            <w:tcW w:type="dxa" w:w="34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  <w:jc w:val="center"/>
            </w:pPr>
            <w:r>
              <w:rPr>
                <w:b w:val="0"/>
                <w:color w:val="000000"/>
                <w:sz w:val="18"/>
              </w:rPr>
              <w:t>S07事件与导出</w:t>
            </w:r>
          </w:p>
        </w:tc>
        <w:tc>
          <w:tcPr>
            <w:tcW w:type="dxa" w:w="629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18"/>
              </w:rPr>
              <w:t>S03已有数据快照 S08/S10新增事件</w:t>
            </w:r>
          </w:p>
        </w:tc>
      </w:tr>
      <w:tr>
        <w:trPr>
          <w:cantSplit/>
        </w:trPr>
        <w:tc>
          <w:tcPr>
            <w:tcW w:type="dxa" w:w="34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  <w:jc w:val="center"/>
            </w:pPr>
            <w:r>
              <w:rPr>
                <w:b w:val="0"/>
                <w:color w:val="000000"/>
                <w:sz w:val="18"/>
              </w:rPr>
              <w:t>S08 Spark</w:t>
            </w:r>
          </w:p>
        </w:tc>
        <w:tc>
          <w:tcPr>
            <w:tcW w:type="dxa" w:w="629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18"/>
              </w:rPr>
              <w:t>S04真实清洗关联与聚合</w:t>
            </w:r>
          </w:p>
        </w:tc>
      </w:tr>
      <w:tr>
        <w:trPr>
          <w:cantSplit/>
        </w:trPr>
        <w:tc>
          <w:tcPr>
            <w:tcW w:type="dxa" w:w="34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  <w:jc w:val="center"/>
            </w:pPr>
            <w:r>
              <w:rPr>
                <w:b w:val="0"/>
                <w:color w:val="000000"/>
                <w:sz w:val="18"/>
              </w:rPr>
              <w:t>S09发布API</w:t>
            </w:r>
          </w:p>
        </w:tc>
        <w:tc>
          <w:tcPr>
            <w:tcW w:type="dxa" w:w="629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18"/>
              </w:rPr>
              <w:t>S05批次发布与只读接口</w:t>
            </w:r>
          </w:p>
        </w:tc>
      </w:tr>
      <w:tr>
        <w:trPr>
          <w:cantSplit/>
        </w:trPr>
        <w:tc>
          <w:tcPr>
            <w:tcW w:type="dxa" w:w="34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  <w:jc w:val="center"/>
            </w:pPr>
            <w:r>
              <w:rPr>
                <w:b w:val="0"/>
                <w:color w:val="000000"/>
                <w:sz w:val="18"/>
              </w:rPr>
              <w:t>S10分析与建议</w:t>
            </w:r>
          </w:p>
        </w:tc>
        <w:tc>
          <w:tcPr>
            <w:tcW w:type="dxa" w:w="629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18"/>
              </w:rPr>
              <w:t>S06先独立数据分析 S10再联合建议</w:t>
            </w:r>
          </w:p>
        </w:tc>
      </w:tr>
      <w:tr>
        <w:trPr>
          <w:cantSplit/>
        </w:trPr>
        <w:tc>
          <w:tcPr>
            <w:tcW w:type="dxa" w:w="34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  <w:jc w:val="center"/>
            </w:pPr>
            <w:r>
              <w:rPr>
                <w:b w:val="0"/>
                <w:color w:val="000000"/>
                <w:sz w:val="18"/>
              </w:rPr>
              <w:t>S11第二模板</w:t>
            </w:r>
          </w:p>
        </w:tc>
        <w:tc>
          <w:tcPr>
            <w:tcW w:type="dxa" w:w="629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18"/>
              </w:rPr>
              <w:t>S11默认选做 可仅选择其中一项</w:t>
            </w:r>
          </w:p>
        </w:tc>
      </w:tr>
      <w:tr>
        <w:trPr>
          <w:cantSplit/>
        </w:trPr>
        <w:tc>
          <w:tcPr>
            <w:tcW w:type="dxa" w:w="34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  <w:jc w:val="center"/>
            </w:pPr>
            <w:r>
              <w:rPr>
                <w:b w:val="0"/>
                <w:color w:val="000000"/>
                <w:sz w:val="18"/>
              </w:rPr>
              <w:t>S12集中评价</w:t>
            </w:r>
          </w:p>
        </w:tc>
        <w:tc>
          <w:tcPr>
            <w:tcW w:type="dxa" w:w="629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18"/>
              </w:rPr>
              <w:t>S01定规则 S04/S06/S08早验 S12复验</w:t>
            </w:r>
          </w:p>
        </w:tc>
      </w:tr>
      <w:tr>
        <w:trPr>
          <w:cantSplit/>
        </w:trPr>
        <w:tc>
          <w:tcPr>
            <w:tcW w:type="dxa" w:w="34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  <w:jc w:val="center"/>
            </w:pPr>
            <w:r>
              <w:rPr>
                <w:b w:val="0"/>
                <w:color w:val="000000"/>
                <w:sz w:val="18"/>
              </w:rPr>
              <w:t>S13论文交接</w:t>
            </w:r>
          </w:p>
        </w:tc>
        <w:tc>
          <w:tcPr>
            <w:tcW w:type="dxa" w:w="629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18"/>
              </w:rPr>
              <w:t>S13数据主线优先组织材料</w:t>
            </w:r>
          </w:p>
        </w:tc>
      </w:tr>
    </w:tbl>
    <w:p>
      <w:pPr>
        <w:widowControl/>
        <w:spacing w:after="0"/>
      </w:pPr>
    </w:p>
    <w:p>
      <w:pPr>
        <w:pStyle w:val="Heading1"/>
      </w:pPr>
      <w:r>
        <w:rPr>
          <w:color w:val="000000"/>
        </w:rPr>
        <w:t>八 交付与完成判定</w:t>
      </w:r>
    </w:p>
    <w:p>
      <w:pPr>
        <w:widowControl/>
      </w:pPr>
      <w:r>
        <w:t>每阶段保留基线、实际差异、授权依据、检查命令、原始结果、证据、未完成影响和恢复方式，报告位于开发相关文档/阶段报告/AI大数据改造/V2。大数据核心、AI联合主线、S11选做分别判定；批次正确、模型质量、规模表现和真实学习效果分别陈述。</w:t>
      </w:r>
    </w:p>
    <w:p>
      <w:pPr>
        <w:widowControl/>
      </w:pPr>
      <w:r>
        <w:t>毕业设计至少交付一条可重跑Spark链路、一项有方法与独立验证的分析专题、一组原始规模实验、一条可恢复AI实践与可核对质量结果，以及对应论文演示。没有真实参与者实验时不承诺普遍学习提升。</w:t>
      </w:r>
    </w:p>
    <w:p>
      <w:pPr>
        <w:pStyle w:val="Heading1"/>
      </w:pPr>
      <w:r>
        <w:rPr>
          <w:color w:val="000000"/>
        </w:rPr>
        <w:t>九 机制参考与本地依据</w:t>
      </w:r>
    </w:p>
    <w:p>
      <w:pPr>
        <w:keepNext/>
        <w:widowControl/>
      </w:pPr>
      <w:r>
        <w:t>Spark SQL  结构化数据处理与数据源 使用实际环境版本</w:t>
      </w:r>
    </w:p>
    <w:p>
      <w:pPr>
        <w:widowControl/>
      </w:pPr>
      <w:r>
        <w:t>https://spark.apache.org/docs/latest/sql-programming-guide</w:t>
      </w:r>
    </w:p>
    <w:p>
      <w:pPr>
        <w:keepNext/>
        <w:widowControl/>
      </w:pPr>
      <w:r>
        <w:t>Spark数据库数据源  数据库与Spark协作 不强制替换既定快照方案</w:t>
      </w:r>
    </w:p>
    <w:p>
      <w:pPr>
        <w:widowControl/>
      </w:pPr>
      <w:r>
        <w:t>https://spark.apache.org/docs/latest/sql-data-sources-jdbc.html</w:t>
      </w:r>
    </w:p>
    <w:p>
      <w:pPr>
        <w:keepNext/>
        <w:widowControl/>
      </w:pPr>
      <w:r>
        <w:t>Spark性能实验  分区与运行参数参考 结论以本机测量为准</w:t>
      </w:r>
    </w:p>
    <w:p>
      <w:pPr>
        <w:widowControl/>
      </w:pPr>
      <w:r>
        <w:t>https://spark.apache.org/docs/latest/sql-performance-tuning.html</w:t>
      </w:r>
    </w:p>
    <w:p>
      <w:pPr>
        <w:keepNext/>
        <w:widowControl/>
      </w:pPr>
      <w:r>
        <w:t>工作流任务分解  简单组合与中间检查 不要求新增编排框架</w:t>
      </w:r>
    </w:p>
    <w:p>
      <w:pPr>
        <w:widowControl/>
      </w:pPr>
      <w:r>
        <w:t>https://www.anthropic.com/engineering/building-effective-agents</w:t>
      </w:r>
    </w:p>
    <w:p>
      <w:pPr>
        <w:widowControl/>
        <w:ind w:left="198" w:hanging="198"/>
      </w:pPr>
      <w:r>
        <w:t>1  本地依据为当前源码、CR9带日期验收、20261018节点结果模块化报告、20261016大数据新版方案及20261017 WSL指南。旧文档状态不能覆盖新源码事实。</w:t>
      </w:r>
    </w:p>
    <w:p>
      <w:pPr>
        <w:widowControl/>
        <w:ind w:left="198" w:hanging="198"/>
      </w:pPr>
      <w:r>
        <w:t>2  本包仅重排当前S系列，不修改历史P/R/L/CR提示词。与其历史提交推送约定冲突时，本包默认不自动提交推送；未来操作仍按当前用户明确指令。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77" w:bottom="964" w:left="1077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执行总纲 V2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000000"/>
        <w:sz w:val="16"/>
      </w:rPr>
      <w:t>ScholarHub  大数据主线与 AI 实践  V2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line="293" w:lineRule="auto" w:after="100" w:before="0"/>
    </w:pPr>
    <w:rPr>
      <w:rFonts w:ascii="Microsoft YaHei" w:hAnsi="Microsoft YaHei" w:eastAsia="Microsoft YaHei" w:cs="Microsoft YaHei"/>
      <w:b w:val="0"/>
      <w:i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40" w:after="100" w:line="293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 w:val="0"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40" w:after="100" w:line="293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40" w:after="100" w:line="293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 w:val="0"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widowControl/>
      <w:spacing w:after="280" w:line="293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 w:cs="Microsoft YaHei"/>
      <w:b/>
      <w:i w:val="0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numPr>
        <w:ilvl w:val="1"/>
      </w:numPr>
      <w:spacing w:line="293" w:lineRule="auto" w:after="100" w:before="0"/>
    </w:pPr>
    <w:rPr>
      <w:rFonts w:asciiTheme="majorHAnsi" w:eastAsiaTheme="majorEastAsia" w:hAnsiTheme="majorHAnsi" w:cstheme="majorBidi" w:ascii="Microsoft YaHei" w:hAnsi="Microsoft YaHei" w:eastAsia="Microsoft YaHei" w:cs="Microsoft YaHei"/>
      <w:b w:val="0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执行总纲 V2</dc:title>
  <dc:subject>数据科学与大数据技术专业阶段实施指令 V2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