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S00 现状扫描与核心业务数据基线</w:t>
      </w:r>
    </w:p>
    <w:p>
      <w:pPr>
        <w:pStyle w:val="Subtitle"/>
        <w:widowControl/>
      </w:pPr>
      <w:r>
        <w:t>V2 大数据主线优先  2026年10月19日  必做  建议安排 第1周前段</w:t>
      </w:r>
    </w:p>
    <w:p>
      <w:pPr>
        <w:widowControl/>
      </w:pPr>
      <w:r>
        <w:t>用法  单独上传本文件，并发送“只执行本阶段，完成验收与交接后停止”。V2编号已重排，请勿混用旧版同号文件。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S00 现状扫描与核心业务数据基线。目标：确认当前工程与数据来源，选择一条能够产生可信数据的已有业务主线。本阶段只读业务代码，允许写本阶段报告与日志，不要求先完善所有页面或新AI实践工作台。</w:t>
      </w:r>
    </w:p>
    <w:p>
      <w:pPr>
        <w:widowControl/>
      </w:pPr>
      <w:r>
        <w:t>直接前置阶段：无。前置条件：无。若执行过旧版S阶段，先按V2总纲映射已有产物，核对并复用，不能以编号相同推断内容相同。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>1  你是能读取本地仓库的开发AI。根目录为C:\Users\Administrator\Desktop\毕业设计\ScholarHub。每次只执行一个阶段；本包不授权自动执行整包。先核对当前源码、Git与日志，保护已有未提交修改；无源码访问先列缺少材料。</w:t>
      </w:r>
    </w:p>
    <w:p>
      <w:pPr>
        <w:widowControl/>
        <w:ind w:left="198" w:hanging="198"/>
      </w:pPr>
      <w:r>
        <w:t>2  先读AGENTS.md和可用的stop-that-shit、frontend-backend-code-standards；前端沿用现有设计规范。保持Vue/TypeScript、FastAPI/SQLAlchemy/MySQL及Provider，复用既有结果模块化、测试与图表，不重建项目或无关格式化。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>7  中文日志沿用开发相关文档/开发日志/开发操作日志.md；报告放开发相关文档/阶段报告/AI大数据改造/V2。编号已按V2重排，旧阶段报告只经内容映射复用，不覆盖旧报告。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根目录AGENTS.md、README、backend/README.md、frontend/package.json、backend/requirements.txt、当前Git分支与差异。</w:t>
      </w:r>
    </w:p>
    <w:p>
      <w:pPr>
        <w:widowControl/>
        <w:ind w:left="198" w:hanging="198"/>
      </w:pPr>
      <w:r>
        <w:t>2  backend/app/models中的learning、submission、ai、workflow；对应API、Service、Repository及现有统计和learning_report实现。</w:t>
      </w:r>
    </w:p>
    <w:p>
      <w:pPr>
        <w:widowControl/>
        <w:ind w:left="198" w:hanging="198"/>
      </w:pPr>
      <w:r>
        <w:t>3  当前两个AI页面、AnalyticsView、WorkflowExecutionPanel与WorkflowNodeResultContent；CR9及20261018节点结果模块化报告。</w:t>
      </w:r>
    </w:p>
    <w:p>
      <w:pPr>
        <w:widowControl/>
        <w:ind w:left="198" w:hanging="198"/>
      </w:pPr>
      <w:r>
        <w:t>4  20261016大数据新版方案和20261017 WSL改造指南。历史报告是线索，不代表本轮已经验证。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核实绝对路径、HEAD和已有修改。本包V2编制时HEAD为9320d68，前端节点结果模块化与部分文档仍未提交；记录保护清单，禁止覆盖这些工作。</w:t>
      </w:r>
    </w:p>
    <w:p>
      <w:pPr>
        <w:widowControl/>
        <w:ind w:left="198" w:hanging="198"/>
      </w:pPr>
      <w:r>
        <w:t>2  沿项目→任务→提交V1→教师退回→提交V2→教师通过→关联学习记录读取真实调用链，标出已落地、待复核与缺失能力。这里只核查目标数据主线，不把社区、所有课程或新AI页面完善作为前置。</w:t>
      </w:r>
    </w:p>
    <w:p>
      <w:pPr>
        <w:widowControl/>
        <w:ind w:left="198" w:hanging="198"/>
      </w:pPr>
      <w:r>
        <w:t>3  列出可用数据源、主键/外键、发生时间、状态时间和可修改字段。特别核对学习记录无updated_at、时长可为空、Feedback与学习记录的真实关联、提交材料不等于不可变代码快照。</w:t>
      </w:r>
    </w:p>
    <w:p>
      <w:pPr>
        <w:widowControl/>
        <w:ind w:left="198" w:hanging="198"/>
      </w:pPr>
      <w:r>
        <w:t>4  区分平台概况、个人报告和拟新增分析。个人报告已有事实数字保护，旧WorkflowRun没有人工等待语义；核实Spark作业、批次表/API和新实践会话是否真实存在，已实现则验证复用。</w:t>
      </w:r>
    </w:p>
    <w:p>
      <w:pPr>
        <w:widowControl/>
        <w:ind w:left="198" w:hanging="198"/>
      </w:pPr>
      <w:r>
        <w:t>5  只读确认Python/JDK/PySpark/WSL及当前虚拟环境版本和可执行路径，不安装或改配置。确认检查命令和是否已有可复核快照；不读取或输出凭证与私人正文。</w:t>
      </w:r>
    </w:p>
    <w:p>
      <w:pPr>
        <w:widowControl/>
        <w:ind w:left="198" w:hanging="198"/>
      </w:pPr>
      <w:r>
        <w:t>6  运行已有且与所选主线相关的低成本测试；前端存在相关修改时按既有命令核对类型/构建。真实库写入、真实模型和Spark规模作业本阶段均不执行，不重新开展全仓库整改。</w:t>
      </w:r>
    </w:p>
    <w:p>
      <w:pPr>
        <w:widowControl/>
        <w:ind w:left="198" w:hanging="198"/>
      </w:pPr>
      <w:r>
        <w:t>7  输出数据可用性矩阵与阻塞分类：影响归属、状态、关联和抽取正确性的缺陷交S02；视觉、外围功能和未请求扩展不阻塞Spark；缺乏真实长期样本作为实验来源限制记录。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有当前源码定位的能力矩阵、既有差异保护清单、数据源字段清单与所选核心业务路径。</w:t>
      </w:r>
    </w:p>
    <w:p>
      <w:pPr>
        <w:widowControl/>
        <w:ind w:left="198" w:hanging="198"/>
      </w:pPr>
      <w:r>
        <w:t>2  明确Spark第一版只依赖已有数据，不依赖S07至S11；资料不足能指出具体字段或来源缺口。</w:t>
      </w:r>
    </w:p>
    <w:p>
      <w:pPr>
        <w:widowControl/>
        <w:ind w:left="198" w:hanging="198"/>
      </w:pPr>
      <w:r>
        <w:t>3  执行检查含命令、退出码与边界；历史271项等成绩不写成本轮通过。</w:t>
      </w:r>
    </w:p>
    <w:p>
      <w:pPr>
        <w:widowControl/>
        <w:ind w:left="198" w:hanging="198"/>
      </w:pPr>
      <w:r>
        <w:t>4  业务源码、数据库、配置和依赖相对开始基线没有本阶段新增差异。</w:t>
      </w:r>
    </w:p>
    <w:p>
      <w:pPr>
        <w:widowControl/>
      </w:pPr>
      <w:r>
        <w:t>阶段门槛：核心数据来源和当前状态无法核实则交付缺口清单；不以完成全业务或新AI工作台作为继续S01的条件。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不修旧CR/R/L阶段、不批量改页面、不建新会话或事件表。</w:t>
      </w:r>
    </w:p>
    <w:p>
      <w:pPr>
        <w:widowControl/>
        <w:ind w:left="198" w:hanging="198"/>
      </w:pPr>
      <w:r>
        <w:t>2  不创建或清空数据库、不调用付费模型、不安装环境或伪造历史数据。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S00-完成报告.md：当前基线、保护清单、核心路径、源字段、数据阻塞与验证边界。</w:t>
      </w:r>
    </w:p>
    <w:p>
      <w:pPr>
        <w:widowControl/>
        <w:ind w:left="198" w:hanging="198"/>
      </w:pPr>
      <w:r>
        <w:t>2  交S01的分析问题候选、数据可用性和需决定的契约项；已完成旧阶段的映射证据。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报告建议路径：开发相关文档/阶段报告/AI大数据改造/V2/S00-完成报告.md。没有用户下一阶段指令，不执行下一阶段。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S00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S00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