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00000"/>
        </w:rPr>
        <w:t>ScholarHub S01 毕设范围数据指标与评价契约</w:t>
      </w:r>
    </w:p>
    <w:p>
      <w:pPr>
        <w:pStyle w:val="Subtitle"/>
        <w:widowControl/>
      </w:pPr>
      <w:r>
        <w:t>V2 大数据主线优先  2026年10月19日  必做  建议安排 第1周前段</w:t>
      </w:r>
    </w:p>
    <w:p>
      <w:pPr>
        <w:widowControl/>
      </w:pPr>
      <w:r>
        <w:t>用法  单独上传本文件，并发送“只执行本阶段，完成验收与交接后停止”。V2编号已重排，请勿混用旧版同号文件。</w:t>
      </w:r>
    </w:p>
    <w:p>
      <w:pPr>
        <w:pStyle w:val="Heading1"/>
      </w:pPr>
      <w:r>
        <w:rPr>
          <w:color w:val="000000"/>
        </w:rPr>
        <w:t>可直接发送给 AI 的完整指令</w:t>
      </w:r>
    </w:p>
    <w:p>
      <w:pPr>
        <w:pStyle w:val="Heading2"/>
      </w:pPr>
      <w:r>
        <w:rPr>
          <w:color w:val="000000"/>
        </w:rPr>
        <w:t>一 当前任务与前置条件</w:t>
      </w:r>
    </w:p>
    <w:p>
      <w:pPr>
        <w:widowControl/>
      </w:pPr>
      <w:r>
        <w:t>请只执行 S01 毕设范围数据指标与评价契约。目标：冻结数据科学与大数据技术专业的核心范围、数据契约和早期评价方法。先设计现有数据到Spark的独立闭环，再定义最小AI实践增量。本阶段写设计材料，不运行迁移或修改业务代码。</w:t>
      </w:r>
    </w:p>
    <w:p>
      <w:pPr>
        <w:widowControl/>
      </w:pPr>
      <w:r>
        <w:t>直接前置阶段：S00。前置条件：S00已通过或有同等当前基线。学校任务书已有明确要求时对照列出；没有提供的算法、集群或数据量要求标待核实，不自行冒充校方规定。</w:t>
      </w:r>
    </w:p>
    <w:p>
      <w:pPr>
        <w:pStyle w:val="Heading2"/>
      </w:pPr>
      <w:r>
        <w:rPr>
          <w:color w:val="000000"/>
        </w:rPr>
        <w:t>二 共同执行约束</w:t>
      </w:r>
    </w:p>
    <w:p>
      <w:pPr>
        <w:widowControl/>
        <w:ind w:left="198" w:hanging="198"/>
      </w:pPr>
      <w:r>
        <w:t>1  你是能读取本地仓库的开发AI。根目录为C:\Users\Administrator\Desktop\毕业设计\ScholarHub。每次只执行一个阶段；本包不授权自动执行整包。先核对当前源码、Git与日志，保护已有未提交修改；无源码访问先列缺少材料。</w:t>
      </w:r>
    </w:p>
    <w:p>
      <w:pPr>
        <w:widowControl/>
        <w:ind w:left="198" w:hanging="198"/>
      </w:pPr>
      <w:r>
        <w:t>2  先读AGENTS.md和可用的stop-that-shit、frontend-backend-code-standards；前端沿用现有设计规范。保持Vue/TypeScript、FastAPI/SQLAlchemy/MySQL及Provider，复用既有结果模块化、测试与图表，不重建项目或无关格式化。</w:t>
      </w:r>
    </w:p>
    <w:p>
      <w:pPr>
        <w:widowControl/>
        <w:ind w:left="198" w:hanging="198"/>
      </w:pPr>
      <w:r>
        <w:t>3  新增依赖、公共API、持久化/迁移、兼容性与检查策略先给具体影响和方案，再按真实授权实施；S01已批准的同一范围不重复审批，新增范围不得自批。写库须确认本轮专用隔离目标及当前状态，不退回业务库或清空既有数据。</w:t>
      </w:r>
    </w:p>
    <w:p>
      <w:pPr>
        <w:widowControl/>
        <w:ind w:left="198" w:hanging="198"/>
      </w:pPr>
      <w:r>
        <w:t>4  真实收费模型先有模型、输入范围及调用/费用上限授权；安装、凭证和账户变更同样遵循明确授权。禁止输出.env、密钥、Token、密码或原始私人正文；Fake/Mock不代表真实模型质量。</w:t>
      </w:r>
    </w:p>
    <w:p>
      <w:pPr>
        <w:widowControl/>
        <w:ind w:left="198" w:hanging="198"/>
      </w:pPr>
      <w:r>
        <w:t>5  遵循Router→Service→Repository→Model，服务端核对身份、归属和版本。等待模型或学生不持数据库锁；学生代码仅静态评审。自测声明、输出值核对、AI建议和教师确认分别记录；普通图表GET不触发Spark或模型。</w:t>
      </w:r>
    </w:p>
    <w:p>
      <w:pPr>
        <w:widowControl/>
        <w:ind w:left="198" w:hanging="198"/>
      </w:pPr>
      <w:r>
        <w:t>6  运行与本阶段相关的既有检查，前端按项目命令做类型/构建，后端使用已确认backend/.venv和unittest入口。数据、API、MySQL、Mock、Spark、模型质量和清理证据分别报告，历史成绩不写成本轮通过。</w:t>
      </w:r>
    </w:p>
    <w:p>
      <w:pPr>
        <w:widowControl/>
        <w:ind w:left="198" w:hanging="198"/>
      </w:pPr>
      <w:r>
        <w:t>7  中文日志沿用开发相关文档/开发日志/开发操作日志.md；报告放开发相关文档/阶段报告/AI大数据改造/V2。编号已按V2重排，旧阶段报告只经内容映射复用，不覆盖旧报告。不自动提交、推送、发布或开始下一阶段。</w:t>
      </w:r>
    </w:p>
    <w:p>
      <w:pPr>
        <w:pStyle w:val="Heading2"/>
      </w:pPr>
      <w:r>
        <w:rPr>
          <w:color w:val="000000"/>
        </w:rPr>
        <w:t>三 必须读取的输入</w:t>
      </w:r>
    </w:p>
    <w:p>
      <w:pPr>
        <w:widowControl/>
        <w:ind w:left="198" w:hanging="198"/>
      </w:pPr>
      <w:r>
        <w:t>1  S00报告、V2总纲、当前学习/提交/反馈/AI请求/Context模型与API、锁顺序和迁移组织方式。</w:t>
      </w:r>
    </w:p>
    <w:p>
      <w:pPr>
        <w:widowControl/>
        <w:ind w:left="198" w:hanging="198"/>
      </w:pPr>
      <w:r>
        <w:t>2  现有统计与个人学习报告的事实保护、数据字段、日期口径和权限；已有Spark环境说明与实验材料。</w:t>
      </w:r>
    </w:p>
    <w:p>
      <w:pPr>
        <w:pStyle w:val="Heading2"/>
      </w:pPr>
      <w:r>
        <w:rPr>
          <w:color w:val="000000"/>
        </w:rPr>
        <w:t>四 本阶段实施步骤</w:t>
      </w:r>
    </w:p>
    <w:p>
      <w:pPr>
        <w:widowControl/>
        <w:ind w:left="198" w:hanging="198"/>
      </w:pPr>
      <w:r>
        <w:t>1  建立一页范围表：首要用户、具体实践困难、分析问题、可演示成果、必做/选做/停止线。S00至S06形成独立大数据核心；S07至S10完成最小AI联合主线；S11默认跳过，S12/S13保留实验与论文时间。</w:t>
      </w:r>
    </w:p>
    <w:p>
      <w:pPr>
        <w:widowControl/>
        <w:ind w:left="198" w:hanging="198"/>
      </w:pPr>
      <w:r>
        <w:t>2  选择至少一个能由现有数据回答的专题，推荐提交修订与验收进展，并给固定群组、单位、窗口、状态截止时刻、分母和独立答案。已记录分钟/活跃日是背景；任务完成与逾期未完、提交修订与教师确认是过程指标。状态快照不能重建未保存的历史日状态。</w:t>
      </w:r>
    </w:p>
    <w:p>
      <w:pPr>
        <w:widowControl/>
        <w:ind w:left="198" w:hanging="198"/>
      </w:pPr>
      <w:r>
        <w:t>3  逐源固定Schema、主键、关系、更新时间限制、可抽取白名单、数据类型和质量规则。学习记录用完整窗口一致性快照，可信教学来源依据ACCEPT Feedback关联；NULL与0分开，199/200为99.5%，取消任务纳入任务分母并另列，无任务为无样本，UTC时间与DATE分别处理。</w:t>
      </w:r>
    </w:p>
    <w:p>
      <w:pPr>
        <w:widowControl/>
        <w:ind w:left="198" w:hanging="198"/>
      </w:pPr>
      <w:r>
        <w:t>4  给出快照→ODS→DWD→ADS→结果发布→只读API→个人图表的最小实体和接口示例。确定batch_id、source_cutoff、schema_version、metric_version、dataset_kind、owner_user_id和空批次权限；完成批次不可覆盖，普通GET不运行Spark。</w:t>
      </w:r>
    </w:p>
    <w:p>
      <w:pPr>
        <w:widowControl/>
        <w:ind w:left="198" w:hanging="198"/>
      </w:pPr>
      <w:r>
        <w:t>5  定义固定小样本与独立预期结果，覆盖重复/冲突、缺失、跨日、伪来源、源修改删除和空结果。规划独立多主体合成规模集，固定生成种子与分布，按硬件选1万/10万/100万档，记录输入字节、分区和冷热启动；同口径Python或SQL作基线。</w:t>
      </w:r>
    </w:p>
    <w:p>
      <w:pPr>
        <w:widowControl/>
        <w:ind w:left="198" w:hanging="198"/>
      </w:pPr>
      <w:r>
        <w:t>6  定义AI最小固定Python CSV模板与验收项，沿用已有提示/讲解/静态评审。提前建立12至20个正确、错误、信息不足案例和参考答案，冻结问题命中、漏报、误报、错误通过及反馈可执行性的计分单位、评分人、分母和S08准入阈值；阈值未确定不称质量通过。真实模型、输入范围和调用预算另有明确授权后才运行。</w:t>
      </w:r>
    </w:p>
    <w:p>
      <w:pPr>
        <w:widowControl/>
        <w:ind w:left="198" w:hanging="198"/>
      </w:pPr>
      <w:r>
        <w:t>7  最小AI会话独立于旧WorkflowRun，绑定模板/Context/步骤/尝试版本，定义等待、继续、取消和确认。自我声明、固定输出核对、AI静态判断、教师认可分别记录；首次正确允许直接完成，两次提交只是验收支线。</w:t>
      </w:r>
    </w:p>
    <w:p>
      <w:pPr>
        <w:widowControl/>
        <w:ind w:left="198" w:hanging="198"/>
      </w:pPr>
      <w:r>
        <w:t>8  两页职责固定为项目准备维护事实，实践工作台组织任务与提交反馈，数据页解释已发布分析。现有业务接口继续兼容；未来事件记录criterion_id/issue_type等已批字段，首版快照先不依赖不存在的字段。</w:t>
      </w:r>
    </w:p>
    <w:p>
      <w:pPr>
        <w:widowControl/>
        <w:ind w:left="198" w:hanging="198"/>
      </w:pPr>
      <w:r>
        <w:t>9  列出确切变更、迁移/API与用量影响，按大数据核心、最小AI、选做分别批准。明确周门槛与缩减项，提供完整材料后停在必要确认点，不能由AI自行记录已获用户批准。</w:t>
      </w:r>
    </w:p>
    <w:p>
      <w:pPr>
        <w:pStyle w:val="Heading2"/>
      </w:pPr>
      <w:r>
        <w:rPr>
          <w:color w:val="000000"/>
        </w:rPr>
        <w:t>五 验收标准与证据</w:t>
      </w:r>
    </w:p>
    <w:p>
      <w:pPr>
        <w:widowControl/>
        <w:ind w:left="198" w:hanging="198"/>
      </w:pPr>
      <w:r>
        <w:t>1  形成可审查的数据字典、状态/实体/API样例、分析专题、固定答案、评价评分表和版本化验收矩阵。</w:t>
      </w:r>
    </w:p>
    <w:p>
      <w:pPr>
        <w:widowControl/>
        <w:ind w:left="198" w:hanging="198"/>
      </w:pPr>
      <w:r>
        <w:t>2  S03至S06的依赖不包含新AI会话；S11明确选做且跳过不影响S12/S13。</w:t>
      </w:r>
    </w:p>
    <w:p>
      <w:pPr>
        <w:widowControl/>
        <w:ind w:left="198" w:hanging="198"/>
      </w:pPr>
      <w:r>
        <w:t>3  每项指标说明能支持和不能支持的结论，分析问题有对应图表与可核对结果。</w:t>
      </w:r>
    </w:p>
    <w:p>
      <w:pPr>
        <w:widowControl/>
        <w:ind w:left="198" w:hanging="198"/>
      </w:pPr>
      <w:r>
        <w:t>4  分析正确性样例在S04验证，初步规模实验在S06运行，AI质量在S08验证；S12不作为首次有效性检查。</w:t>
      </w:r>
    </w:p>
    <w:p>
      <w:pPr>
        <w:widowControl/>
      </w:pPr>
      <w:r>
        <w:t>阶段门槛：分析问题、源字段和独立答案未冻结则不进入S03；高影响变更先有具体授权。S11未选不构成阻塞。</w:t>
      </w:r>
    </w:p>
    <w:p>
      <w:pPr>
        <w:pStyle w:val="Heading2"/>
      </w:pPr>
      <w:r>
        <w:rPr>
          <w:color w:val="000000"/>
        </w:rPr>
        <w:t>六 明确不做的内容</w:t>
      </w:r>
    </w:p>
    <w:p>
      <w:pPr>
        <w:widowControl/>
        <w:ind w:left="198" w:hanging="198"/>
      </w:pPr>
      <w:r>
        <w:t>1  不预先实现全部实体、API或抽象，不为选做模板设计完整平台。</w:t>
      </w:r>
    </w:p>
    <w:p>
      <w:pPr>
        <w:widowControl/>
        <w:ind w:left="198" w:hanging="198"/>
      </w:pPr>
      <w:r>
        <w:t>2  不将文档调整视为业务迁移、付费模型或安装的自动批准，不规定未经任务书确认的专业硬指标。</w:t>
      </w:r>
    </w:p>
    <w:p>
      <w:pPr>
        <w:pStyle w:val="Heading2"/>
      </w:pPr>
      <w:r>
        <w:rPr>
          <w:color w:val="000000"/>
        </w:rPr>
        <w:t>七 交付与交接</w:t>
      </w:r>
    </w:p>
    <w:p>
      <w:pPr>
        <w:widowControl/>
        <w:ind w:left="198" w:hanging="198"/>
      </w:pPr>
      <w:r>
        <w:t>1  开发相关文档/开发规划/AI实践与大数据实施契约.md，明确V2与分段批准范围。</w:t>
      </w:r>
    </w:p>
    <w:p>
      <w:pPr>
        <w:widowControl/>
        <w:ind w:left="198" w:hanging="198"/>
      </w:pPr>
      <w:r>
        <w:t>2  S01-完成报告.md、真实确认记录、样例及预期答案、分析/AI评分表、周门槛和缩减清单。</w:t>
      </w:r>
    </w:p>
    <w:p>
      <w:pPr>
        <w:pStyle w:val="Heading2"/>
      </w:pPr>
      <w:r>
        <w:rPr>
          <w:color w:val="000000"/>
        </w:rPr>
        <w:t>八 停止条件与回复格式</w:t>
      </w:r>
    </w:p>
    <w:p>
      <w:pPr>
        <w:widowControl/>
        <w:ind w:left="198" w:hanging="198"/>
      </w:pPr>
      <w:r>
        <w:t>1  完成本阶段验收后停止，下一阶段只交接。若已有能力符合验收就验证复用，不重复开发；发现外围问题只记录，不扩大范围。</w:t>
      </w:r>
    </w:p>
    <w:p>
      <w:pPr>
        <w:widowControl/>
        <w:ind w:left="198" w:hanging="198"/>
      </w:pPr>
      <w:r>
        <w:t>2  前置证据、必要授权、环境或质量门槛缺失时，交付已完成材料与准确阻塞。分别标通过、失败、未运行、待确认和未选择，不把工程通过或文档完成写成模型有效或整包完成。</w:t>
      </w:r>
    </w:p>
    <w:p>
      <w:pPr>
        <w:widowControl/>
        <w:ind w:left="198" w:hanging="198"/>
      </w:pPr>
      <w:r>
        <w:t>3  回复依次包含阶段与状态、基线保护、实际修改、契约及授权依据、检查与原始结果、证据路径、未完成影响、清理恢复、下一阶段输入。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77" w:bottom="964" w:left="1077" w:header="425" w:footer="42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S01 V2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000000"/>
        <w:sz w:val="16"/>
      </w:rPr>
      <w:t>ScholarHub  大数据主线与 AI 实践  V2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widowControl/>
      <w:spacing w:line="293" w:lineRule="auto" w:after="100" w:before="0"/>
    </w:pPr>
    <w:rPr>
      <w:rFonts w:ascii="Microsoft YaHei" w:hAnsi="Microsoft YaHei" w:eastAsia="Microsoft YaHei" w:cs="Microsoft YaHei"/>
      <w:b w:val="0"/>
      <w:i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40" w:after="100" w:line="293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i w:val="0"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40" w:after="100" w:line="293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i w:val="0"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40" w:after="100" w:line="293" w:lineRule="auto"/>
      <w:outlineLvl w:val="2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i w:val="0"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widowControl/>
      <w:spacing w:after="280" w:line="293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 w:cs="Microsoft YaHei"/>
      <w:b/>
      <w:i w:val="0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  <w:spacing w:line="293" w:lineRule="auto" w:after="100" w:before="0"/>
    </w:pPr>
    <w:rPr>
      <w:rFonts w:asciiTheme="majorHAnsi" w:eastAsiaTheme="majorEastAsia" w:hAnsiTheme="majorHAnsi" w:cstheme="majorBidi" w:ascii="Microsoft YaHei" w:hAnsi="Microsoft YaHei" w:eastAsia="Microsoft YaHei" w:cs="Microsoft YaHei"/>
      <w:b w:val="0"/>
      <w:i w:val="0"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S01 V2</dc:title>
  <dc:subject>数据科学与大数据技术专业阶段实施指令 V2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