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ScholarHub S03 多源一致性快照与实验样本</w:t>
      </w:r>
    </w:p>
    <w:p>
      <w:pPr>
        <w:pStyle w:val="Subtitle"/>
        <w:widowControl/>
      </w:pPr>
      <w:r>
        <w:t>V2 大数据主线优先  2026年10月19日  必做  建议安排 第1至2周</w:t>
      </w:r>
    </w:p>
    <w:p>
      <w:pPr>
        <w:widowControl/>
      </w:pPr>
      <w:r>
        <w:t>用法  单独上传本文件，并发送“只执行本阶段，完成验收与交接后停止”。V2编号已重排，请勿混用旧版同号文件。</w:t>
      </w:r>
    </w:p>
    <w:p>
      <w:pPr>
        <w:pStyle w:val="Heading1"/>
      </w:pPr>
      <w:r>
        <w:rPr>
          <w:color w:val="000000"/>
        </w:rPr>
        <w:t>可直接发送给 AI 的完整指令</w:t>
      </w:r>
    </w:p>
    <w:p>
      <w:pPr>
        <w:pStyle w:val="Heading2"/>
      </w:pPr>
      <w:r>
        <w:rPr>
          <w:color w:val="000000"/>
        </w:rPr>
        <w:t>一 当前任务与前置条件</w:t>
      </w:r>
    </w:p>
    <w:p>
      <w:pPr>
        <w:widowControl/>
      </w:pPr>
      <w:r>
        <w:t>请只执行 S03 多源一致性快照与实验样本。目标：从 S02 已核实的现有学习记录、任务、AI 请求及教学提交反馈取得可重复使用的 ODS 快照，并准备带独立答案的小样本和隔离规模实验数据。快照本身必须足以支撑 S01 的学习过程专题与三类指标，不能等待 S07 以后才可能出现的新实践事件。</w:t>
      </w:r>
    </w:p>
    <w:p>
      <w:pPr>
        <w:widowControl/>
      </w:pPr>
      <w:r>
        <w:t>直接前置阶段：S02。前置条件：S02 已完成现有业务最小闭环及数据契约落实，交付可信来源关系、实际字段映射、隔离验证链和独立手算答案；S01 的专题、窗口、指标及评分版本保持有效。只有这些输入具备，才能开始本阶段快照与样本工作。</w:t>
      </w:r>
    </w:p>
    <w:p>
      <w:pPr>
        <w:pStyle w:val="Heading2"/>
      </w:pPr>
      <w:r>
        <w:rPr>
          <w:color w:val="000000"/>
        </w:rPr>
        <w:t>二 共同执行约束</w:t>
      </w:r>
    </w:p>
    <w:p>
      <w:pPr>
        <w:widowControl/>
        <w:ind w:left="198" w:hanging="198"/>
      </w:pPr>
      <w:r>
        <w:t>1  你是能读取本地仓库的开发AI。根目录为C:\Users\Administrator\Desktop\毕业设计\ScholarHub。每次只执行一个阶段；本包不授权自动执行整包。先核对当前源码、Git与日志，保护已有未提交修改；无源码访问先列缺少材料。</w:t>
      </w:r>
    </w:p>
    <w:p>
      <w:pPr>
        <w:widowControl/>
        <w:ind w:left="198" w:hanging="198"/>
      </w:pPr>
      <w:r>
        <w:t>2  先读AGENTS.md和可用的stop-that-shit、frontend-backend-code-standards；前端沿用现有设计规范。保持Vue/TypeScript、FastAPI/SQLAlchemy/MySQL及Provider，复用既有结果模块化、测试与图表，不重建项目或无关格式化。</w:t>
      </w:r>
    </w:p>
    <w:p>
      <w:pPr>
        <w:widowControl/>
        <w:ind w:left="198" w:hanging="198"/>
      </w:pPr>
      <w:r>
        <w:t>3  新增依赖、公共API、持久化/迁移、兼容性与检查策略先给具体影响和方案，再按真实授权实施；S01已批准的同一范围不重复审批，新增范围不得自批。写库须确认本轮专用隔离目标及当前状态，不退回业务库或清空既有数据。</w:t>
      </w:r>
    </w:p>
    <w:p>
      <w:pPr>
        <w:widowControl/>
        <w:ind w:left="198" w:hanging="198"/>
      </w:pPr>
      <w:r>
        <w:t>4  真实收费模型先有模型、输入范围及调用/费用上限授权；安装、凭证和账户变更同样遵循明确授权。禁止输出.env、密钥、Token、密码或原始私人正文；Fake/Mock不代表真实模型质量。</w:t>
      </w:r>
    </w:p>
    <w:p>
      <w:pPr>
        <w:widowControl/>
        <w:ind w:left="198" w:hanging="198"/>
      </w:pPr>
      <w:r>
        <w:t>5  遵循Router→Service→Repository→Model，服务端核对身份、归属和版本。等待模型或学生不持数据库锁；学生代码仅静态评审。自测声明、输出值核对、AI建议和教师确认分别记录；普通图表GET不触发Spark或模型。</w:t>
      </w:r>
    </w:p>
    <w:p>
      <w:pPr>
        <w:widowControl/>
        <w:ind w:left="198" w:hanging="198"/>
      </w:pPr>
      <w:r>
        <w:t>6  运行与本阶段相关的既有检查，前端按项目命令做类型/构建，后端使用已确认backend/.venv和unittest入口。数据、API、MySQL、Mock、Spark、模型质量和清理证据分别报告，历史成绩不写成本轮通过。</w:t>
      </w:r>
    </w:p>
    <w:p>
      <w:pPr>
        <w:widowControl/>
        <w:ind w:left="198" w:hanging="198"/>
      </w:pPr>
      <w:r>
        <w:t>7  中文日志沿用开发相关文档/开发日志/开发操作日志.md；报告放开发相关文档/阶段报告/AI大数据改造/V2。编号已按V2重排，旧阶段报告只经内容映射复用，不覆盖旧报告。不自动提交、推送、发布或开始下一阶段。</w:t>
      </w:r>
    </w:p>
    <w:p>
      <w:pPr>
        <w:pStyle w:val="Heading2"/>
      </w:pPr>
      <w:r>
        <w:rPr>
          <w:color w:val="000000"/>
        </w:rPr>
        <w:t>三 必须读取的输入</w:t>
      </w:r>
    </w:p>
    <w:p>
      <w:pPr>
        <w:widowControl/>
        <w:ind w:left="198" w:hanging="198"/>
      </w:pPr>
      <w:r>
        <w:t>1  S02 的真实源表、关联键、归属条件、教学版本链与异常边界证据，以及 S01 的字段白名单和分析专题所需最小维度。</w:t>
      </w:r>
    </w:p>
    <w:p>
      <w:pPr>
        <w:widowControl/>
        <w:ind w:left="198" w:hanging="198"/>
      </w:pPr>
      <w:r>
        <w:t>2  已授权只读数据源及其事务隔离能力；小样本如需经真实 API 创建数据，必须有本轮隔离库写入授权和对象清理清单。</w:t>
      </w:r>
    </w:p>
    <w:p>
      <w:pPr>
        <w:widowControl/>
        <w:ind w:left="198" w:hanging="198"/>
      </w:pPr>
      <w:r>
        <w:t>3  S00 已核实的本机运行资源、磁盘位置与可用计算环境，用于选择实际能完成的实验规模，不将实验档位当作生产数据量。</w:t>
      </w:r>
    </w:p>
    <w:p>
      <w:pPr>
        <w:pStyle w:val="Heading2"/>
      </w:pPr>
      <w:r>
        <w:rPr>
          <w:color w:val="000000"/>
        </w:rPr>
        <w:t>四 本阶段实施步骤</w:t>
      </w:r>
    </w:p>
    <w:p>
      <w:pPr>
        <w:widowControl/>
        <w:ind w:left="198" w:hanging="198"/>
      </w:pPr>
      <w:r>
        <w:t>1  确定抽取白名单与关联顺序：学习记录保留主键、主体、类型、时间、分钟及必要关系；任务保留状态、计划日期与完成时间；教学保留提交版本、反馈决定和可信关联；AI 请求只导出专题所需状态、时间与可用量字段，不带密钥、提示词正文或无关评语。</w:t>
      </w:r>
    </w:p>
    <w:p>
      <w:pPr>
        <w:widowControl/>
        <w:ind w:left="198" w:hanging="198"/>
      </w:pPr>
      <w:r>
        <w:t>2  将学习记录、任务快照及关系证明放在同一个受控一致性读取窗口中。明确数据库事务隔离、连接复用及快照边界，快速读取所需字段后释放事务，再执行文件处理。多个独立 JDBC 连接或相近的查询时间不能被标为同一数据库快照。</w:t>
      </w:r>
    </w:p>
    <w:p>
      <w:pPr>
        <w:widowControl/>
        <w:ind w:left="198" w:hanging="198"/>
      </w:pPr>
      <w:r>
        <w:t>3  学习记录可修改、可删除且没有可靠 updated_at，首版按选定窗口重新抽取完整快照；任务及关系也按契约读取完整所需集合。不使用最大 ID 或 created_at 水位声称捕获更新删除，不建立缺乏来源保证的伪增量。</w:t>
      </w:r>
    </w:p>
    <w:p>
      <w:pPr>
        <w:widowControl/>
        <w:ind w:left="198" w:hanging="198"/>
      </w:pPr>
      <w:r>
        <w:t>4  冻结时间转换：以指定业务时区的开始日零点到结束日次日零点构造左闭右开窗口，再换成 UTC 查询瞬间；scheduled_date 是 DATE，直接作为计划日期。元信息区分源快照截点、抽取开始结束时间和业务窗口，不能把文件生成时间冒称事件时间。</w:t>
      </w:r>
    </w:p>
    <w:p>
      <w:pPr>
        <w:widowControl/>
        <w:ind w:left="198" w:hanging="198"/>
      </w:pPr>
      <w:r>
        <w:t>5  为每份 ODS 保存 dataset_id、snapshot_id、真实或合成标识、主体覆盖、表结构版本、筛选条件、时区、窗口、源截点、各源行数和抽取状态。输出临时目录与已完成快照分开；只有所有源读取和校验结束后才标记完整，后续阶段固定读取该快照。</w:t>
      </w:r>
    </w:p>
    <w:p>
      <w:pPr>
        <w:widowControl/>
        <w:ind w:left="198" w:hanging="198"/>
      </w:pPr>
      <w:r>
        <w:t>6  建立独立小样本与答案表，覆盖普通记录、真实 V1 退回／V2 通过关系、伪 JSON 来源、NULL 与历史零值、跨业务午夜、重复与冲突主键、取消任务、199／200、空集合和多主体归属。异常样本放隔离文件，不为凑案例写入业务库。答案由人工或独立 Python／SQL 核算形成。</w:t>
      </w:r>
    </w:p>
    <w:p>
      <w:pPr>
        <w:widowControl/>
        <w:ind w:left="198" w:hanging="198"/>
      </w:pPr>
      <w:r>
        <w:t>7  给 S01 冻结的学习过程专题布置有区分度的事实：不同主体拥有不同记录节奏、任务状态、教学修订与反馈间隔，明确哪些模式应被识别、哪些不应触发。冻结三类指标的预期值和评分样例，避免所有样本仅在分钟总和上不同。</w:t>
      </w:r>
    </w:p>
    <w:p>
      <w:pPr>
        <w:widowControl/>
        <w:ind w:left="198" w:hanging="198"/>
      </w:pPr>
      <w:r>
        <w:t>8  在普通隔离文件中生成规模实验数据。1 万、10 万、100 万是按硬件选择的实验档，可先完成一个可用档；记录生成规则、随机种子、多主体分布、稀疏或倾斜程度、时间覆盖及缺失率。合成数据保留教学关系一致性，明确它不能证明真实用户行为或教学成效。</w:t>
      </w:r>
    </w:p>
    <w:p>
      <w:pPr>
        <w:widowControl/>
        <w:ind w:left="198" w:hanging="198"/>
      </w:pPr>
      <w:r>
        <w:t>9  验证修改删除边界：取完成快照 A，在授权隔离源修改或删除相关记录后再取 B；A 保持原样，B 反映新状态。中途读取失败不得发布半套 ODS；重试能使用新的未完成目录恢复，已有完成快照不覆盖，清理仅针对本轮确认的临时路径。</w:t>
      </w:r>
    </w:p>
    <w:p>
      <w:pPr>
        <w:pStyle w:val="Heading2"/>
      </w:pPr>
      <w:r>
        <w:rPr>
          <w:color w:val="000000"/>
        </w:rPr>
        <w:t>五 验收标准与证据</w:t>
      </w:r>
    </w:p>
    <w:p>
      <w:pPr>
        <w:widowControl/>
        <w:ind w:left="198" w:hanging="198"/>
      </w:pPr>
      <w:r>
        <w:t>1  真实业务源至少形成一份完整一致性快照；事务、窗口、抽取条件与行数证据可复核，未把多个无协调查询称为一致性快照。</w:t>
      </w:r>
    </w:p>
    <w:p>
      <w:pPr>
        <w:widowControl/>
        <w:ind w:left="198" w:hanging="198"/>
      </w:pPr>
      <w:r>
        <w:t>2  小样本能独立回答专题及三类指标，手算答案覆盖可信来源、日期、NULL／零、取消、199／200和无样本，且与大规模合成样本分开。</w:t>
      </w:r>
    </w:p>
    <w:p>
      <w:pPr>
        <w:widowControl/>
        <w:ind w:left="198" w:hanging="198"/>
      </w:pPr>
      <w:r>
        <w:t>3  A／B 快照及故障重试证明更新删除可反映、完成快照不可变、半成品不可用；重读同一快照的输入集合稳定。</w:t>
      </w:r>
    </w:p>
    <w:p>
      <w:pPr>
        <w:widowControl/>
        <w:ind w:left="198" w:hanging="198"/>
      </w:pPr>
      <w:r>
        <w:t>4  至少一个硬件可承受的合成实验档完成生成并记录多主体分布、体量和资源；无业务库灌数，无虚构线上历史，不能完成的档位明确标为未运行。</w:t>
      </w:r>
    </w:p>
    <w:p>
      <w:pPr>
        <w:widowControl/>
      </w:pPr>
      <w:r>
        <w:t>阶段门槛：出现一致性边界不明、源表无法覆盖 S01 专题、手算答案缺失、主体或时间关系不可靠、快照失败却被标完成等情况时停止，不将问题推给 Spark 清洗。验收通过只交付固定 ODS 与样本，不自动开始 S04，不要求等待后续实践事件。</w:t>
      </w:r>
    </w:p>
    <w:p>
      <w:pPr>
        <w:pStyle w:val="Heading2"/>
      </w:pPr>
      <w:r>
        <w:rPr>
          <w:color w:val="000000"/>
        </w:rPr>
        <w:t>六 明确不做的内容</w:t>
      </w:r>
    </w:p>
    <w:p>
      <w:pPr>
        <w:widowControl/>
        <w:ind w:left="198" w:hanging="198"/>
      </w:pPr>
      <w:r>
        <w:t>1  本阶段不执行 Spark 指标计算、不建立分析结果 API，也不新增埋点或依赖新 AI 会话数据。</w:t>
      </w:r>
    </w:p>
    <w:p>
      <w:pPr>
        <w:widowControl/>
        <w:ind w:left="198" w:hanging="198"/>
      </w:pPr>
      <w:r>
        <w:t>2  不采集全量业务正文、不建立实时 CDC，不为规模实验复制真实个人信息或把文件合成数据导入业务库。</w:t>
      </w:r>
    </w:p>
    <w:p>
      <w:pPr>
        <w:pStyle w:val="Heading2"/>
      </w:pPr>
      <w:r>
        <w:rPr>
          <w:color w:val="000000"/>
        </w:rPr>
        <w:t>七 交付与交接</w:t>
      </w:r>
    </w:p>
    <w:p>
      <w:pPr>
        <w:widowControl/>
        <w:ind w:left="198" w:hanging="198"/>
      </w:pPr>
      <w:r>
        <w:t>1  交付白名单抽取入口、快照 manifest、数据字典、一致性说明、A／B 及失败恢复记录。</w:t>
      </w:r>
    </w:p>
    <w:p>
      <w:pPr>
        <w:widowControl/>
        <w:ind w:left="198" w:hanging="198"/>
      </w:pPr>
      <w:r>
        <w:t>2  交付固定小样本、独立答案与评分样例、选定规模档和生成说明；S04 的运行输入必须指向明确 snapshot_id。</w:t>
      </w:r>
    </w:p>
    <w:p>
      <w:pPr>
        <w:pStyle w:val="Heading2"/>
      </w:pPr>
      <w:r>
        <w:rPr>
          <w:color w:val="000000"/>
        </w:rPr>
        <w:t>八 停止条件与回复格式</w:t>
      </w:r>
    </w:p>
    <w:p>
      <w:pPr>
        <w:widowControl/>
        <w:ind w:left="198" w:hanging="198"/>
      </w:pPr>
      <w:r>
        <w:t>1  完成本阶段验收后停止，下一阶段只交接。若已有能力符合验收就验证复用，不重复开发；发现外围问题只记录，不扩大范围。</w:t>
      </w:r>
    </w:p>
    <w:p>
      <w:pPr>
        <w:widowControl/>
        <w:ind w:left="198" w:hanging="198"/>
      </w:pPr>
      <w:r>
        <w:t>2  前置证据、必要授权、环境或质量门槛缺失时，交付已完成材料与准确阻塞。分别标通过、失败、未运行、待确认和未选择，不把工程通过或文档完成写成模型有效或整包完成。</w:t>
      </w:r>
    </w:p>
    <w:p>
      <w:pPr>
        <w:widowControl/>
        <w:ind w:left="198" w:hanging="198"/>
      </w:pPr>
      <w:r>
        <w:t>3  回复依次包含阶段与状态、基线保护、实际修改、契约及授权依据、检查与原始结果、证据路径、未完成影响、清理恢复、下一阶段输入。</w:t>
      </w:r>
    </w:p>
    <w:p>
      <w:pPr>
        <w:widowControl/>
      </w:pPr>
      <w:r>
        <w:t>报告建议路径：开发相关文档/阶段报告/AI大数据改造/V2/S03-完成报告.md。没有用户下一阶段指令，不执行下一阶段。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S03 V2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ScholarHub  大数据主线与 AI 实践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293" w:lineRule="auto" w:after="100" w:before="0"/>
    </w:pPr>
    <w:rPr>
      <w:rFonts w:ascii="Microsoft YaHei" w:hAnsi="Microsoft YaHei" w:eastAsia="Microsoft YaHei" w:cs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 w:line="29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80" w:line="293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93" w:lineRule="auto" w:after="100" w:before="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S03 V2</dc:title>
  <dc:subject>数据科学与大数据技术专业阶段实施指令 V2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