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ScholarHub S05 分析批次发布与只读接口</w:t>
      </w:r>
    </w:p>
    <w:p>
      <w:pPr>
        <w:pStyle w:val="Subtitle"/>
        <w:widowControl/>
      </w:pPr>
      <w:r>
        <w:t>V2 大数据主线优先  2026年10月19日  必做  建议安排 第2至3周</w:t>
      </w:r>
    </w:p>
    <w:p>
      <w:pPr>
        <w:widowControl/>
      </w:pPr>
      <w:r>
        <w:t>用法  单独上传本文件，并发送“只执行本阶段，完成验收与交接后停止”。V2编号已重排，请勿混用旧版同号文件。</w:t>
      </w:r>
    </w:p>
    <w:p>
      <w:pPr>
        <w:pStyle w:val="Heading1"/>
      </w:pPr>
      <w:r>
        <w:rPr>
          <w:color w:val="000000"/>
        </w:rPr>
        <w:t>可直接发送给 AI 的完整指令</w:t>
      </w:r>
    </w:p>
    <w:p>
      <w:pPr>
        <w:pStyle w:val="Heading2"/>
      </w:pPr>
      <w:r>
        <w:rPr>
          <w:color w:val="000000"/>
        </w:rPr>
        <w:t>一 当前任务与前置条件</w:t>
      </w:r>
    </w:p>
    <w:p>
      <w:pPr>
        <w:widowControl/>
      </w:pPr>
      <w:r>
        <w:t>请只执行 S05 分析批次发布与只读接口。目标：将 S04 已核对的离线分析结果受控发布到已确认的分析存储，提供首版本人授权的只读查询。批次保留输入与规则版本、不可变历史和失败恢复能力，使页面读取的数字确实来自已完成 Spark 产物；普通 GET 只查询结果，永不触发 Spark 作业。</w:t>
      </w:r>
    </w:p>
    <w:p>
      <w:pPr>
        <w:widowControl/>
      </w:pPr>
      <w:r>
        <w:t>直接前置阶段：S04。前置条件：S04 已有真实 Spark 成功产物、质量对账、专题评分与独立基线证据；S01 已明确本阶段分析表、索引、批次状态、身份范围及 API 契约。S03 的快照和 S02 的源语义可追溯，尚未完成或规则不符的离线任务不得进入发布。</w:t>
      </w:r>
    </w:p>
    <w:p>
      <w:pPr>
        <w:pStyle w:val="Heading2"/>
      </w:pPr>
      <w:r>
        <w:rPr>
          <w:color w:val="000000"/>
        </w:rPr>
        <w:t>二 共同执行约束</w:t>
      </w:r>
    </w:p>
    <w:p>
      <w:pPr>
        <w:widowControl/>
        <w:ind w:left="198" w:hanging="198"/>
      </w:pPr>
      <w:r>
        <w:t>1  你是能读取本地仓库的开发AI。根目录为C:\Users\Administrator\Desktop\毕业设计\ScholarHub。每次只执行一个阶段；本包不授权自动执行整包。先核对当前源码、Git与日志，保护已有未提交修改；无源码访问先列缺少材料。</w:t>
      </w:r>
    </w:p>
    <w:p>
      <w:pPr>
        <w:widowControl/>
        <w:ind w:left="198" w:hanging="198"/>
      </w:pPr>
      <w:r>
        <w:t>2  先读AGENTS.md和可用的stop-that-shit、frontend-backend-code-standards；前端沿用现有设计规范。保持Vue/TypeScript、FastAPI/SQLAlchemy/MySQL及Provider，复用既有结果模块化、测试与图表，不重建项目或无关格式化。</w:t>
      </w:r>
    </w:p>
    <w:p>
      <w:pPr>
        <w:widowControl/>
        <w:ind w:left="198" w:hanging="198"/>
      </w:pPr>
      <w:r>
        <w:t>3  新增依赖、公共API、持久化/迁移、兼容性与检查策略先给具体影响和方案，再按真实授权实施；S01已批准的同一范围不重复审批，新增范围不得自批。写库须确认本轮专用隔离目标及当前状态，不退回业务库或清空既有数据。</w:t>
      </w:r>
    </w:p>
    <w:p>
      <w:pPr>
        <w:widowControl/>
        <w:ind w:left="198" w:hanging="198"/>
      </w:pPr>
      <w:r>
        <w:t>4  真实收费模型先有模型、输入范围及调用/费用上限授权；安装、凭证和账户变更同样遵循明确授权。禁止输出.env、密钥、Token、密码或原始私人正文；Fake/Mock不代表真实模型质量。</w:t>
      </w:r>
    </w:p>
    <w:p>
      <w:pPr>
        <w:widowControl/>
        <w:ind w:left="198" w:hanging="198"/>
      </w:pPr>
      <w:r>
        <w:t>5  遵循Router→Service→Repository→Model，服务端核对身份、归属和版本。等待模型或学生不持数据库锁；学生代码仅静态评审。自测声明、输出值核对、AI建议和教师确认分别记录；普通图表GET不触发Spark或模型。</w:t>
      </w:r>
    </w:p>
    <w:p>
      <w:pPr>
        <w:widowControl/>
        <w:ind w:left="198" w:hanging="198"/>
      </w:pPr>
      <w:r>
        <w:t>6  运行与本阶段相关的既有检查，前端按项目命令做类型/构建，后端使用已确认backend/.venv和unittest入口。数据、API、MySQL、Mock、Spark、模型质量和清理证据分别报告，历史成绩不写成本轮通过。</w:t>
      </w:r>
    </w:p>
    <w:p>
      <w:pPr>
        <w:widowControl/>
        <w:ind w:left="198" w:hanging="198"/>
      </w:pPr>
      <w:r>
        <w:t>7  中文日志沿用开发相关文档/开发日志/开发操作日志.md；报告放开发相关文档/阶段报告/AI大数据改造/V2。编号已按V2重排，旧阶段报告只经内容映射复用，不覆盖旧报告。不自动提交、推送、发布或开始下一阶段。</w:t>
      </w:r>
    </w:p>
    <w:p>
      <w:pPr>
        <w:pStyle w:val="Heading2"/>
      </w:pPr>
      <w:r>
        <w:rPr>
          <w:color w:val="000000"/>
        </w:rPr>
        <w:t>三 必须读取的输入</w:t>
      </w:r>
    </w:p>
    <w:p>
      <w:pPr>
        <w:widowControl/>
        <w:ind w:left="198" w:hanging="198"/>
      </w:pPr>
      <w:r>
        <w:t>1  S04 完成产物及其 manifest：dataset_id、snapshot_id、job 标识、规则版本、业务窗口、时区、源截点、主体覆盖、质量计数和结果行数。</w:t>
      </w:r>
    </w:p>
    <w:p>
      <w:pPr>
        <w:widowControl/>
        <w:ind w:left="198" w:hanging="198"/>
      </w:pPr>
      <w:r>
        <w:t>2  S01 已确认的分析存储与接口设计、状态转换、幂等身份、权限规则和兼容边界；按该具体契约实施，不为已确认项重复设置审批。</w:t>
      </w:r>
    </w:p>
    <w:p>
      <w:pPr>
        <w:widowControl/>
        <w:ind w:left="198" w:hanging="198"/>
      </w:pPr>
      <w:r>
        <w:t>3  本轮明确授权的隔离数据库与迁移验证范围、现有迁移和认证框架，以及发布失败后的上一成功批次。</w:t>
      </w:r>
    </w:p>
    <w:p>
      <w:pPr>
        <w:pStyle w:val="Heading2"/>
      </w:pPr>
      <w:r>
        <w:rPr>
          <w:color w:val="000000"/>
        </w:rPr>
        <w:t>四 本阶段实施步骤</w:t>
      </w:r>
    </w:p>
    <w:p>
      <w:pPr>
        <w:widowControl/>
        <w:ind w:left="198" w:hanging="198"/>
      </w:pPr>
      <w:r>
        <w:t>1  先核对 S01 契约与 S04 实际输出，按已确认方案增加批次元数据和必要汇总表、唯一约束及查询索引。批次保存数据集种类、输入快照、任务与指标版本、窗口、时区、截止与完成时间、归属范围和质量摘要；结果键包含批次、用户及契约维度。</w:t>
      </w:r>
    </w:p>
    <w:p>
      <w:pPr>
        <w:widowControl/>
        <w:ind w:left="198" w:hanging="198"/>
      </w:pPr>
      <w:r>
        <w:t>2  实现离线发布入口，拒绝未完成、质量未通过、schema 或规则版本不兼容的产物。发布使用固定输入任务标识，验证主体、窗口与各结果表的覆盖；文件路径由受控任务清单解析，不能通过 API 参数接受任意本机路径。</w:t>
      </w:r>
    </w:p>
    <w:p>
      <w:pPr>
        <w:widowControl/>
        <w:ind w:left="198" w:hanging="198"/>
      </w:pPr>
      <w:r>
        <w:t>3  将创建、导入、校验与完成发布分开。导入期间结果属于未发布批次，所有表行数和质量对账通过后，以短事务标记 completed；失败保留可诊断状态，查询继续使用上一成功结果，不能因某张表先导入就暴露半套新数据。</w:t>
      </w:r>
    </w:p>
    <w:p>
      <w:pPr>
        <w:widowControl/>
        <w:ind w:left="198" w:hanging="198"/>
      </w:pPr>
      <w:r>
        <w:t>4  用 S01 确认的逻辑身份处理幂等与并发：同一输入快照、规则、任务及归属的成功发布返回已有批次；重复导入不叠加结果。仅未发布的本次批次可按受控规则清理重写；已完成批次禁止更新或覆盖，需要重算则创建新版本批次。</w:t>
      </w:r>
    </w:p>
    <w:p>
      <w:pPr>
        <w:widowControl/>
        <w:ind w:left="198" w:hanging="198"/>
      </w:pPr>
      <w:r>
        <w:t>5  实现本人批次列表、日汇总与冻结专题查询等已确认只读 API，user_id 从认证主体取得。每一个列表、详情与空结果路径先验证批次可见性、完成状态及本人范围；空批次同样鉴权，不能因为结果零行而绕过归属，也不能只靠前端隐藏他人数据。</w:t>
      </w:r>
    </w:p>
    <w:p>
      <w:pPr>
        <w:widowControl/>
        <w:ind w:left="198" w:hanging="198"/>
      </w:pPr>
      <w:r>
        <w:t>6  查询响应固定携带 batch_id、dataset_kind、时区、源截点和 metric_version，校验日期范围、分页上限、批次窗口及枚举。保留任务分子分母、取消数、分钟缺失数和样本量；零、NULL、无样本、无可用批次与查询后空列表分别表达，不让客户端猜测。</w:t>
      </w:r>
    </w:p>
    <w:p>
      <w:pPr>
        <w:widowControl/>
        <w:ind w:left="198" w:hanging="198"/>
      </w:pPr>
      <w:r>
        <w:t>7  隔离新离线接口与旧 /statistics：旧接口继续表达原业务实时聚合，新接口只读取发布结果。保留现有 API 和错误结构；测试 GET 前后离线任务启动次数及写入数，证明查看、筛选、刷新与无数据请求不会启动 Spark、模型或重新发布。</w:t>
      </w:r>
    </w:p>
    <w:p>
      <w:pPr>
        <w:widowControl/>
        <w:ind w:left="198" w:hanging="198"/>
      </w:pPr>
      <w:r>
        <w:t>8  在本轮授权隔离库执行实际迁移与真实 API 验证。用本人、另一用户、未登录身份检查批次列表、明确 batch_id、超窗查询、空批次与不存在批次；依据项目既有语义返回错误，不通过关闭鉴权或使用管理员令牌代替本人权限。</w:t>
      </w:r>
    </w:p>
    <w:p>
      <w:pPr>
        <w:widowControl/>
        <w:ind w:left="198" w:hanging="198"/>
      </w:pPr>
      <w:r>
        <w:t>9  注入导入中断、校验失败、重复发布和旧版本产物场景：失败批次不可查询，上一成功批次仍可用，重试不会重复行；并发发布遵守唯一性或状态冲突约定。只回滚或清理本轮隔离对象，保留成功历史与用户无关脏文件。</w:t>
      </w:r>
    </w:p>
    <w:p>
      <w:pPr>
        <w:widowControl/>
        <w:ind w:left="198" w:hanging="198"/>
      </w:pPr>
      <w:r>
        <w:t>10  选固定小样本，从独立手算答案、真实 Spark ADS 到已发布表及 API 返回逐项核对；记录实际批次编号、窗口、主体和版本。合成批次必须标识合成来源，不能以其数量宣称平台已有相应真实学习用户。</w:t>
      </w:r>
    </w:p>
    <w:p>
      <w:pPr>
        <w:pStyle w:val="Heading2"/>
      </w:pPr>
      <w:r>
        <w:rPr>
          <w:color w:val="000000"/>
        </w:rPr>
        <w:t>五 验收标准与证据</w:t>
      </w:r>
    </w:p>
    <w:p>
      <w:pPr>
        <w:widowControl/>
        <w:ind w:left="198" w:hanging="198"/>
      </w:pPr>
      <w:r>
        <w:t>1  至少一份通过质量校验的真实 Spark 产物经隔离库实际发布并可由真实 API 查询；手算、ADS、存储和返回值同口径一致。</w:t>
      </w:r>
    </w:p>
    <w:p>
      <w:pPr>
        <w:widowControl/>
        <w:ind w:left="198" w:hanging="198"/>
      </w:pPr>
      <w:r>
        <w:t>2  成功批次不可变、重复发布幂等、失败导入不暴露半成品，上一成功结果在故障中可持续读取，并有状态与数量证据。</w:t>
      </w:r>
    </w:p>
    <w:p>
      <w:pPr>
        <w:widowControl/>
        <w:ind w:left="198" w:hanging="198"/>
      </w:pPr>
      <w:r>
        <w:t>3  本人、他人、未登录及空批次权限路径均通过；窗口、分页、NULL 和无样本语义符合 S01。</w:t>
      </w:r>
    </w:p>
    <w:p>
      <w:pPr>
        <w:widowControl/>
        <w:ind w:left="198" w:hanging="198"/>
      </w:pPr>
      <w:r>
        <w:t>4  普通 GET 不启动 Spark、不调用模型、不写业务数据；原统计接口兼容，新旧数据来源在响应与文档中明确区分。</w:t>
      </w:r>
    </w:p>
    <w:p>
      <w:pPr>
        <w:widowControl/>
      </w:pPr>
      <w:r>
        <w:t>阶段门槛：S01 未确认的数据库或公开契约差异必须先停止该项；隔离库未获本轮写入授权、批次半发布、越权含空批次、幂等不成立或 GET 启动作业任一发生时，不交付页面接入。通过后仅提交 S06 交接材料，不自动进入 S06。</w:t>
      </w:r>
    </w:p>
    <w:p>
      <w:pPr>
        <w:pStyle w:val="Heading2"/>
      </w:pPr>
      <w:r>
        <w:rPr>
          <w:color w:val="000000"/>
        </w:rPr>
        <w:t>六 明确不做的内容</w:t>
      </w:r>
    </w:p>
    <w:p>
      <w:pPr>
        <w:widowControl/>
        <w:ind w:left="198" w:hanging="198"/>
      </w:pPr>
      <w:r>
        <w:t>1  不增加管理员全站或教师班级分析，不设计跨主体自由查询、在线 Spark 调度和自动重新计算。</w:t>
      </w:r>
    </w:p>
    <w:p>
      <w:pPr>
        <w:widowControl/>
        <w:ind w:left="198" w:hanging="198"/>
      </w:pPr>
      <w:r>
        <w:t>2  不覆盖历史已发布批次，不为新接口重写现有业务统计、教学提交或学习报告生成机制。</w:t>
      </w:r>
    </w:p>
    <w:p>
      <w:pPr>
        <w:pStyle w:val="Heading2"/>
      </w:pPr>
      <w:r>
        <w:rPr>
          <w:color w:val="000000"/>
        </w:rPr>
        <w:t>七 交付与交接</w:t>
      </w:r>
    </w:p>
    <w:p>
      <w:pPr>
        <w:widowControl/>
        <w:ind w:left="198" w:hanging="198"/>
      </w:pPr>
      <w:r>
        <w:t>1  交付迁移、发布入口、批次状态与幂等规则、只读 API 契约和恢复命令，注明本轮实际隔离库及清理结果。</w:t>
      </w:r>
    </w:p>
    <w:p>
      <w:pPr>
        <w:widowControl/>
        <w:ind w:left="198" w:hanging="198"/>
      </w:pPr>
      <w:r>
        <w:t>2  交付成功、失败、空及越权样例批次、真实 API 证据和手算至发布结果的对照表，供 S06 直接消费。</w:t>
      </w:r>
    </w:p>
    <w:p>
      <w:pPr>
        <w:pStyle w:val="Heading2"/>
      </w:pPr>
      <w:r>
        <w:rPr>
          <w:color w:val="000000"/>
        </w:rPr>
        <w:t>八 停止条件与回复格式</w:t>
      </w:r>
    </w:p>
    <w:p>
      <w:pPr>
        <w:widowControl/>
        <w:ind w:left="198" w:hanging="198"/>
      </w:pPr>
      <w:r>
        <w:t>1  完成本阶段验收后停止，下一阶段只交接。若已有能力符合验收就验证复用，不重复开发；发现外围问题只记录，不扩大范围。</w:t>
      </w:r>
    </w:p>
    <w:p>
      <w:pPr>
        <w:widowControl/>
        <w:ind w:left="198" w:hanging="198"/>
      </w:pPr>
      <w:r>
        <w:t>2  前置证据、必要授权、环境或质量门槛缺失时，交付已完成材料与准确阻塞。分别标通过、失败、未运行、待确认和未选择，不把工程通过或文档完成写成模型有效或整包完成。</w:t>
      </w:r>
    </w:p>
    <w:p>
      <w:pPr>
        <w:widowControl/>
        <w:ind w:left="198" w:hanging="198"/>
      </w:pPr>
      <w:r>
        <w:t>3  回复依次包含阶段与状态、基线保护、实际修改、契约及授权依据、检查与原始结果、证据路径、未完成影响、清理恢复、下一阶段输入。</w:t>
      </w:r>
    </w:p>
    <w:p>
      <w:pPr>
        <w:widowControl/>
      </w:pPr>
      <w:r>
        <w:t>报告建议路径：开发相关文档/阶段报告/AI大数据改造/V2/S05-完成报告.md。没有用户下一阶段指令，不执行下一阶段。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64" w:left="1077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S05 V2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000000"/>
        <w:sz w:val="16"/>
      </w:rPr>
      <w:t>ScholarHub  大数据主线与 AI 实践 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line="293" w:lineRule="auto" w:after="100" w:before="0"/>
    </w:pPr>
    <w:rPr>
      <w:rFonts w:ascii="Microsoft YaHei" w:hAnsi="Microsoft YaHei" w:eastAsia="Microsoft YaHei" w:cs="Microsoft YaHei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00" w:line="293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00" w:line="293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00" w:line="293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80" w:line="293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b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line="293" w:lineRule="auto" w:after="100" w:before="0"/>
    </w:pPr>
    <w:rPr>
      <w:rFonts w:asciiTheme="majorHAnsi" w:eastAsiaTheme="majorEastAsia" w:hAnsiTheme="majorHAnsi" w:cstheme="majorBidi" w:ascii="Microsoft YaHei" w:hAnsi="Microsoft YaHei" w:eastAsia="Microsoft YaHei" w:cs="Microsoft YaHei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S05 V2</dc:title>
  <dc:subject>数据科学与大数据技术专业阶段实施指令 V2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