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</w:rPr>
        <w:t>ScholarHub S07 最小AI实践会话与单步执行</w:t>
      </w:r>
    </w:p>
    <w:p>
      <w:pPr>
        <w:pStyle w:val="Subtitle"/>
        <w:widowControl/>
      </w:pPr>
      <w:r>
        <w:t>V2 大数据主线优先  2026年10月19日  必做  建议安排 第3周后段</w:t>
      </w:r>
    </w:p>
    <w:p>
      <w:pPr>
        <w:widowControl/>
      </w:pPr>
      <w:r>
        <w:t>用法  单独上传本文件，并发送“只执行本阶段，完成验收与交接后停止”。V2编号已重排，请勿混用旧版同号文件。</w:t>
      </w:r>
    </w:p>
    <w:p>
      <w:pPr>
        <w:pStyle w:val="Heading1"/>
      </w:pPr>
      <w:r>
        <w:rPr>
          <w:color w:val="000000"/>
        </w:rPr>
        <w:t>可直接发送给 AI 的完整指令</w:t>
      </w:r>
    </w:p>
    <w:p>
      <w:pPr>
        <w:pStyle w:val="Heading2"/>
      </w:pPr>
      <w:r>
        <w:rPr>
          <w:color w:val="000000"/>
        </w:rPr>
        <w:t>一 当前任务与前置条件</w:t>
      </w:r>
    </w:p>
    <w:p>
      <w:pPr>
        <w:widowControl/>
      </w:pPr>
      <w:r>
        <w:t>请只执行 S07 最小AI实践会话与单步执行。目标：在独立大数据主线已验收的基础上，以固定Python CSV清洗模板建立可持久化、可恢复的最小实践会话，让模型请求完成后进入人工等待。首版无需自然语言生成草案，不重建旧工作流，不影响已发布分析批次与已有统计服务。</w:t>
      </w:r>
    </w:p>
    <w:p>
      <w:pPr>
        <w:widowControl/>
      </w:pPr>
      <w:r>
        <w:t>直接前置阶段：S01、S06。前置条件：S01范围、数据、指标与评价契约已完成，本阶段实际需要的新会话持久化、迁移和公共接口已获明确批准；S06学习洞察与独立大数据主线已通过并有证据。数据库写入目标与当前状态另须按本轮授权核实，不能把收到阶段文件当作全部高影响操作批准。</w:t>
      </w:r>
    </w:p>
    <w:p>
      <w:pPr>
        <w:pStyle w:val="Heading2"/>
      </w:pPr>
      <w:r>
        <w:rPr>
          <w:color w:val="000000"/>
        </w:rPr>
        <w:t>二 共同执行约束</w:t>
      </w:r>
    </w:p>
    <w:p>
      <w:pPr>
        <w:widowControl/>
        <w:ind w:left="198" w:hanging="198"/>
      </w:pPr>
      <w:r>
        <w:t>1  你是能读取本地仓库的开发AI。根目录为C:\Users\Administrator\Desktop\毕业设计\ScholarHub。每次只执行一个阶段；本包不授权自动执行整包。先核对当前源码、Git与日志，保护已有未提交修改；无源码访问先列缺少材料。</w:t>
      </w:r>
    </w:p>
    <w:p>
      <w:pPr>
        <w:widowControl/>
        <w:ind w:left="198" w:hanging="198"/>
      </w:pPr>
      <w:r>
        <w:t>2  先读AGENTS.md和可用的stop-that-shit、frontend-backend-code-standards；前端沿用现有设计规范。保持Vue/TypeScript、FastAPI/SQLAlchemy/MySQL及Provider，复用既有结果模块化、测试与图表，不重建项目或无关格式化。</w:t>
      </w:r>
    </w:p>
    <w:p>
      <w:pPr>
        <w:widowControl/>
        <w:ind w:left="198" w:hanging="198"/>
      </w:pPr>
      <w:r>
        <w:t>3  新增依赖、公共API、持久化/迁移、兼容性与检查策略先给具体影响和方案，再按真实授权实施；S01已批准的同一范围不重复审批，新增范围不得自批。写库须确认本轮专用隔离目标及当前状态，不退回业务库或清空既有数据。</w:t>
      </w:r>
    </w:p>
    <w:p>
      <w:pPr>
        <w:widowControl/>
        <w:ind w:left="198" w:hanging="198"/>
      </w:pPr>
      <w:r>
        <w:t>4  真实收费模型先有模型、输入范围及调用/费用上限授权；安装、凭证和账户变更同样遵循明确授权。禁止输出.env、密钥、Token、密码或原始私人正文；Fake/Mock不代表真实模型质量。</w:t>
      </w:r>
    </w:p>
    <w:p>
      <w:pPr>
        <w:widowControl/>
        <w:ind w:left="198" w:hanging="198"/>
      </w:pPr>
      <w:r>
        <w:t>5  遵循Router→Service→Repository→Model，服务端核对身份、归属和版本。等待模型或学生不持数据库锁；学生代码仅静态评审。自测声明、输出值核对、AI建议和教师确认分别记录；普通图表GET不触发Spark或模型。</w:t>
      </w:r>
    </w:p>
    <w:p>
      <w:pPr>
        <w:widowControl/>
        <w:ind w:left="198" w:hanging="198"/>
      </w:pPr>
      <w:r>
        <w:t>6  运行与本阶段相关的既有检查，前端按项目命令做类型/构建，后端使用已确认backend/.venv和unittest入口。数据、API、MySQL、Mock、Spark、模型质量和清理证据分别报告，历史成绩不写成本轮通过。</w:t>
      </w:r>
    </w:p>
    <w:p>
      <w:pPr>
        <w:widowControl/>
        <w:ind w:left="198" w:hanging="198"/>
      </w:pPr>
      <w:r>
        <w:t>7  中文日志沿用开发相关文档/开发日志/开发操作日志.md；报告放开发相关文档/阶段报告/AI大数据改造/V2。编号已按V2重排，旧阶段报告只经内容映射复用，不覆盖旧报告。不自动提交、推送、发布或开始下一阶段。</w:t>
      </w:r>
    </w:p>
    <w:p>
      <w:pPr>
        <w:pStyle w:val="Heading2"/>
      </w:pPr>
      <w:r>
        <w:rPr>
          <w:color w:val="000000"/>
        </w:rPr>
        <w:t>三 必须读取的输入</w:t>
      </w:r>
    </w:p>
    <w:p>
      <w:pPr>
        <w:widowControl/>
        <w:ind w:left="198" w:hanging="198"/>
      </w:pPr>
      <w:r>
        <w:t>1  S01批准契约、真实确认记录及固定CSV样本：字段、重复和冲突主键、NULL与0、负数、跨日、聚合规则、独立答案和预期提交物。不得让模型重新决定已冻结规则。</w:t>
      </w:r>
    </w:p>
    <w:p>
      <w:pPr>
        <w:widowControl/>
        <w:ind w:left="198" w:hanging="198"/>
      </w:pPr>
      <w:r>
        <w:t>2  S06已验收的数据快照、Spark作业、发布批次和本人分析接口边界；记录哪些能力必须继续可用，AI扩展失败不能使独立大数据成果回退为未完成。</w:t>
      </w:r>
    </w:p>
    <w:p>
      <w:pPr>
        <w:widowControl/>
        <w:ind w:left="198" w:hanging="198"/>
      </w:pPr>
      <w:r>
        <w:t>3  当前工作流执行器、注册表、AIClient、Context管理、请求记录及相关测试；先查实际调用关系和既有锁顺序，复用有明确职责的现有层。</w:t>
      </w:r>
    </w:p>
    <w:p>
      <w:pPr>
        <w:pStyle w:val="Heading2"/>
      </w:pPr>
      <w:r>
        <w:rPr>
          <w:color w:val="000000"/>
        </w:rPr>
        <w:t>四 本阶段实施步骤</w:t>
      </w:r>
    </w:p>
    <w:p>
      <w:pPr>
        <w:widowControl/>
        <w:ind w:left="198" w:hanging="198"/>
      </w:pPr>
      <w:r>
        <w:t>1  先核对本阶段批准范围和当前差异，列出固定模板、会话状态、单步动作及接口对应关系。缺少具体批准时交付可审阅差异设计，停在实施门槛，不新增尚未批准的表或接口。</w:t>
      </w:r>
    </w:p>
    <w:p>
      <w:pPr>
        <w:widowControl/>
        <w:ind w:left="198" w:hanging="198"/>
      </w:pPr>
      <w:r>
        <w:t>2  新增独立实践会话，以明确模板版本保存目标、步骤顺序、项目与Context版本、当前步骤和主体。按最小实体设计实施增量迁移；旧WorkflowRun的枚举、批量运行与历史结果含义保持兼容。</w:t>
      </w:r>
    </w:p>
    <w:p>
      <w:pPr>
        <w:widowControl/>
        <w:ind w:left="198" w:hanging="198"/>
      </w:pPr>
      <w:r>
        <w:t>3  模板只描述首个Python CSV练习的目标验收、提示、人工实践和后续提交入口。用户阅读固定模板并确认开始即可进入会话，不调用草案生成，不把自由文本解释为新的可执行节点。</w:t>
      </w:r>
    </w:p>
    <w:p>
      <w:pPr>
        <w:widowControl/>
        <w:ind w:left="198" w:hanging="198"/>
      </w:pPr>
      <w:r>
        <w:t>4  服务端按批准状态表管理ready、running_step、waiting_input等实际需要的状态；确认和取消各有合法触发条件。模型调用成功只完成请求记录，不能直接认定学生已实践或完成学习。</w:t>
      </w:r>
    </w:p>
    <w:p>
      <w:pPr>
        <w:widowControl/>
        <w:ind w:left="198" w:hanging="198"/>
      </w:pPr>
      <w:r>
        <w:t>5  实现可查询的单步调用，复用既有Provider、结构化校验、超时、用量与错误语义。每次调用明确消费当前任务和允许的Context字段，不复制另一套鉴权、供应商请求或全项目分析。</w:t>
      </w:r>
    </w:p>
    <w:p>
      <w:pPr>
        <w:widowControl/>
        <w:ind w:left="198" w:hanging="198"/>
      </w:pPr>
      <w:r>
        <w:t>6  模型调用前后使用短事务；调用期间不保留数据库锁。落库前重新核对会话、步骤、输入和Context版本，拒绝取消后、版本变更后或已结束步骤的迟到结果覆盖有效状态。</w:t>
      </w:r>
    </w:p>
    <w:p>
      <w:pPr>
        <w:widowControl/>
        <w:ind w:left="198" w:hanging="198"/>
      </w:pPr>
      <w:r>
        <w:t>7  到人工步骤即保存waiting_input并返回，查询、刷新与离开页面不触发模型。查询结果能够在服务重启后重建当前状态，不依赖进程内字典、未提交事务或浏览器缓存保活。</w:t>
      </w:r>
    </w:p>
    <w:p>
      <w:pPr>
        <w:widowControl/>
        <w:ind w:left="198" w:hanging="198"/>
      </w:pPr>
      <w:r>
        <w:t>8  开始、继续、取消及恢复校验资源归属和版本。使用批准的幂等键或业务唯一约束，使重复请求只形成一次有效状态提交；外部请求中断先查询已有记录，不承诺供应商调用天然恰好一次。</w:t>
      </w:r>
    </w:p>
    <w:p>
      <w:pPr>
        <w:widowControl/>
        <w:ind w:left="198" w:hanging="198"/>
      </w:pPr>
      <w:r>
        <w:t>9  明确服务重启时残留running_step的解释和恢复入口，保留已发生请求的状态与错误；恢复不能静默重复收费调用，学生可以区分继续等待、人工重试和已取消。</w:t>
      </w:r>
    </w:p>
    <w:p>
      <w:pPr>
        <w:widowControl/>
        <w:ind w:left="198" w:hanging="198"/>
      </w:pPr>
      <w:r>
        <w:t>10  在会话创建、步骤开始、取消及恢复的成功事务中按S01约定记录各自动作事件，绑定主体、模板、步骤和版本。重复取消或恢复只产生一次有效事件；回滚不产成功事件，事件不携带学生代码、私密材料或原始提示正文。</w:t>
      </w:r>
    </w:p>
    <w:p>
      <w:pPr>
        <w:widowControl/>
        <w:ind w:left="198" w:hanging="198"/>
      </w:pPr>
      <w:r>
        <w:t>11  以Fake和现有测试验证状态与版本；已获本轮隔离库授权时核对迁移和重启恢复。分别说明工程、真实接口和真实数据库证据，本阶段不以Fake结果证明模型指导质量。</w:t>
      </w:r>
    </w:p>
    <w:p>
      <w:pPr>
        <w:pStyle w:val="Heading2"/>
      </w:pPr>
      <w:r>
        <w:rPr>
          <w:color w:val="000000"/>
        </w:rPr>
        <w:t>五 验收标准与证据</w:t>
      </w:r>
    </w:p>
    <w:p>
      <w:pPr>
        <w:widowControl/>
        <w:ind w:left="198" w:hanging="198"/>
      </w:pPr>
      <w:r>
        <w:t>1  固定模板可在不生成草案的情况下创建会话，单步请求后到达人工等待；刷新、重新查询和服务重启后当前步骤与版本仍可恢复。</w:t>
      </w:r>
    </w:p>
    <w:p>
      <w:pPr>
        <w:widowControl/>
        <w:ind w:left="198" w:hanging="198"/>
      </w:pPr>
      <w:r>
        <w:t>2  重复开始、并发开始、错误版本、跨用户读取、取消后迟到返回和请求失败均有可解释行为；有效状态只提交一次，不能遗留隐式重跑。</w:t>
      </w:r>
    </w:p>
    <w:p>
      <w:pPr>
        <w:widowControl/>
        <w:ind w:left="198" w:hanging="198"/>
      </w:pPr>
      <w:r>
        <w:t>3  开始、取消与恢复事件和实际业务提交一致，回滚与重复操作不放大事件数；事件字段符合批准合同，分析输入不新增代码正文或秘密。</w:t>
      </w:r>
    </w:p>
    <w:p>
      <w:pPr>
        <w:widowControl/>
        <w:ind w:left="198" w:hanging="198"/>
      </w:pPr>
      <w:r>
        <w:t>4  旧all/incomplete运行、画布编辑互斥、历史结果与Context失效回归保持原有含义；S06已有批次和分析接口仍可读取。</w:t>
      </w:r>
    </w:p>
    <w:p>
      <w:pPr>
        <w:widowControl/>
        <w:ind w:left="198" w:hanging="198"/>
      </w:pPr>
      <w:r>
        <w:t>5  相关检查有实际命令和结果；未获隔离库授权时迁移、锁和重启恢复标未验收，不以设计或内存测试替代数据库证据。</w:t>
      </w:r>
    </w:p>
    <w:p>
      <w:pPr>
        <w:widowControl/>
      </w:pPr>
      <w:r>
        <w:t>阶段门槛：固定模板持久会话、单步人工等待、归属与版本保护及旧能力兼容达到批准验收后停止；缺少新持久化或公共接口授权先停在具体设计。真实数据库未验证须明确标注，不能带着关键状态缺口自动进入S08。</w:t>
      </w:r>
    </w:p>
    <w:p>
      <w:pPr>
        <w:pStyle w:val="Heading2"/>
      </w:pPr>
      <w:r>
        <w:rPr>
          <w:color w:val="000000"/>
        </w:rPr>
        <w:t>六 明确不做的内容</w:t>
      </w:r>
    </w:p>
    <w:p>
      <w:pPr>
        <w:widowControl/>
        <w:ind w:left="198" w:hanging="198"/>
      </w:pPr>
      <w:r>
        <w:t>1  不实现自然语言草案、第二模板、任意节点市场、通用条件分支或新的工作流框架。</w:t>
      </w:r>
    </w:p>
    <w:p>
      <w:pPr>
        <w:widowControl/>
        <w:ind w:left="198" w:hanging="198"/>
      </w:pPr>
      <w:r>
        <w:t>2  不执行学生脚本，不把Spark作为代码沙箱；不新增队列、Provider或生产调度。</w:t>
      </w:r>
    </w:p>
    <w:p>
      <w:pPr>
        <w:widowControl/>
        <w:ind w:left="198" w:hanging="198"/>
      </w:pPr>
      <w:r>
        <w:t>3  不在本阶段提前实现完整提交评审页面，也不修改独立大数据指标来迁就新会话。</w:t>
      </w:r>
    </w:p>
    <w:p>
      <w:pPr>
        <w:pStyle w:val="Heading2"/>
      </w:pPr>
      <w:r>
        <w:rPr>
          <w:color w:val="000000"/>
        </w:rPr>
        <w:t>七 交付与交接</w:t>
      </w:r>
    </w:p>
    <w:p>
      <w:pPr>
        <w:widowControl/>
        <w:ind w:left="198" w:hanging="198"/>
      </w:pPr>
      <w:r>
        <w:t>1  交付S07完成报告、实际状态转换、迁移与接口差异、授权依据和恢复说明。</w:t>
      </w:r>
    </w:p>
    <w:p>
      <w:pPr>
        <w:widowControl/>
        <w:ind w:left="198" w:hanging="198"/>
      </w:pPr>
      <w:r>
        <w:t>2  提供固定会话样例、已验证错误语义、开始事件样例及S08可复用的单步入口。</w:t>
      </w:r>
    </w:p>
    <w:p>
      <w:pPr>
        <w:widowControl/>
        <w:ind w:left="198" w:hanging="198"/>
      </w:pPr>
      <w:r>
        <w:t>3  列出S08所需尝试、反馈和验收项关联的已批准边界，未批准事项单列。</w:t>
      </w:r>
    </w:p>
    <w:p>
      <w:pPr>
        <w:pStyle w:val="Heading2"/>
      </w:pPr>
      <w:r>
        <w:rPr>
          <w:color w:val="000000"/>
        </w:rPr>
        <w:t>八 停止条件与回复格式</w:t>
      </w:r>
    </w:p>
    <w:p>
      <w:pPr>
        <w:widowControl/>
        <w:ind w:left="198" w:hanging="198"/>
      </w:pPr>
      <w:r>
        <w:t>1  完成本阶段验收后停止，下一阶段只交接。若已有能力符合验收就验证复用，不重复开发；发现外围问题只记录，不扩大范围。</w:t>
      </w:r>
    </w:p>
    <w:p>
      <w:pPr>
        <w:widowControl/>
        <w:ind w:left="198" w:hanging="198"/>
      </w:pPr>
      <w:r>
        <w:t>2  前置证据、必要授权、环境或质量门槛缺失时，交付已完成材料与准确阻塞。分别标通过、失败、未运行、待确认和未选择，不把工程通过或文档完成写成模型有效或整包完成。</w:t>
      </w:r>
    </w:p>
    <w:p>
      <w:pPr>
        <w:widowControl/>
        <w:ind w:left="198" w:hanging="198"/>
      </w:pPr>
      <w:r>
        <w:t>3  回复依次包含阶段与状态、基线保护、实际修改、契约及授权依据、检查与原始结果、证据路径、未完成影响、清理恢复、下一阶段输入。</w:t>
      </w:r>
    </w:p>
    <w:p>
      <w:pPr>
        <w:widowControl/>
      </w:pPr>
      <w:r>
        <w:t>报告建议路径：开发相关文档/阶段报告/AI大数据改造/V2/S07-完成报告.md。没有用户下一阶段指令，不执行下一阶段。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964" w:left="1077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S07 V2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000000"/>
        <w:sz w:val="16"/>
      </w:rPr>
      <w:t>ScholarHub  大数据主线与 AI 实践  V2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="293" w:lineRule="auto" w:after="100" w:before="0"/>
    </w:pPr>
    <w:rPr>
      <w:rFonts w:ascii="Microsoft YaHei" w:hAnsi="Microsoft YaHei" w:eastAsia="Microsoft YaHei" w:cs="Microsoft YaHei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00" w:line="293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40" w:after="100" w:line="293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40" w:after="100" w:line="293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280" w:line="293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 w:cs="Microsoft YaHei"/>
      <w:b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line="293" w:lineRule="auto" w:after="100" w:before="0"/>
    </w:pPr>
    <w:rPr>
      <w:rFonts w:asciiTheme="majorHAnsi" w:eastAsiaTheme="majorEastAsia" w:hAnsiTheme="majorHAnsi" w:cstheme="majorBidi" w:ascii="Microsoft YaHei" w:hAnsi="Microsoft YaHei" w:eastAsia="Microsoft YaHei" w:cs="Microsoft YaHei"/>
      <w:b w:val="0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S07 V2</dc:title>
  <dc:subject>数据科学与大数据技术专业阶段实施指令 V2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