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00000"/>
          <w:sz w:val="42"/>
        </w:rPr>
        <w:t>ScholarHub S11 可选自然语言草案与项目启动模板</w:t>
      </w:r>
    </w:p>
    <w:p>
      <w:pPr>
        <w:pStyle w:val="Subtitle"/>
        <w:widowControl/>
      </w:pPr>
      <w:r>
        <w:t>V2 大数据主线优先  2026年10月19日  选做 默认跳过</w:t>
      </w:r>
    </w:p>
    <w:p>
      <w:pPr>
        <w:widowControl/>
      </w:pPr>
      <w:r>
        <w:t>用法  单独上传本文件，并发送“只执行本阶段，完成验收与交接后停止”。V2编号已重排，请勿混用旧版同号文件。</w:t>
      </w:r>
    </w:p>
    <w:p>
      <w:pPr>
        <w:pStyle w:val="Heading1"/>
      </w:pPr>
      <w:r>
        <w:rPr>
          <w:color w:val="000000"/>
        </w:rPr>
        <w:t>可直接发送给 AI 的完整指令</w:t>
      </w:r>
    </w:p>
    <w:p>
      <w:pPr>
        <w:pStyle w:val="Heading2"/>
      </w:pPr>
      <w:r>
        <w:rPr>
          <w:color w:val="000000"/>
        </w:rPr>
        <w:t>一 当前任务与前置条件</w:t>
      </w:r>
    </w:p>
    <w:p>
      <w:pPr>
        <w:widowControl/>
      </w:pPr>
      <w:r>
        <w:t>请只执行 S11 可选自然语言草案与项目启动模板。目标：仅在大数据和固定AI实践核心门槛已通过、且不挤占实验论文时间时，按用户明确选择增加受限自然语言草案或项目启动第二模板。两项分别选做，可以只做其中一项；本阶段默认跳过并直接进入S12。</w:t>
      </w:r>
    </w:p>
    <w:p>
      <w:pPr>
        <w:widowControl/>
      </w:pPr>
      <w:r>
        <w:t>直接前置阶段：S10。前置条件：S10必做主线与此前Spark、固定AI质量门槛均已通过且有证据，用户另行明确选择草案、第二模板或两者，并确认对应新增范围和模型预算。第5至6周优先安排实验与论文；剩余时间不足或关键质量尚未通过时不启动本阶段。</w:t>
      </w:r>
    </w:p>
    <w:p>
      <w:pPr>
        <w:pStyle w:val="Heading2"/>
      </w:pPr>
      <w:r>
        <w:rPr>
          <w:color w:val="000000"/>
        </w:rPr>
        <w:t>二 共同执行约束</w:t>
      </w:r>
    </w:p>
    <w:p>
      <w:pPr>
        <w:widowControl/>
        <w:ind w:left="198" w:hanging="198"/>
      </w:pPr>
      <w:r>
        <w:t>1  你是能读取本地仓库的开发AI。根目录为C:\Users\Administrator\Desktop\毕业设计\ScholarHub。每次只执行一个阶段；本包不授权自动执行整包。先核对当前源码、Git与日志，保护已有未提交修改；无源码访问先列缺少材料。</w:t>
      </w:r>
    </w:p>
    <w:p>
      <w:pPr>
        <w:widowControl/>
        <w:ind w:left="198" w:hanging="198"/>
      </w:pPr>
      <w:r>
        <w:t>2  先读AGENTS.md和可用的stop-that-shit、frontend-backend-code-standards；前端沿用现有设计规范。保持Vue/TypeScript、FastAPI/SQLAlchemy/MySQL及Provider，复用既有结果模块化、测试与图表，不重建项目或无关格式化。</w:t>
      </w:r>
    </w:p>
    <w:p>
      <w:pPr>
        <w:widowControl/>
        <w:ind w:left="198" w:hanging="198"/>
      </w:pPr>
      <w:r>
        <w:t>3  新增依赖、公共API、持久化/迁移、兼容性与检查策略先给具体影响和方案，再按真实授权实施；S01已批准的同一范围不重复审批，新增范围不得自批。写库须确认本轮专用隔离目标及当前状态，不退回业务库或清空既有数据。</w:t>
      </w:r>
    </w:p>
    <w:p>
      <w:pPr>
        <w:widowControl/>
        <w:ind w:left="198" w:hanging="198"/>
      </w:pPr>
      <w:r>
        <w:t>4  真实收费模型先有模型、输入范围及调用/费用上限授权；安装、凭证和账户变更同样遵循明确授权。禁止输出.env、密钥、Token、密码或原始私人正文；Fake/Mock不代表真实模型质量。</w:t>
      </w:r>
    </w:p>
    <w:p>
      <w:pPr>
        <w:widowControl/>
        <w:ind w:left="198" w:hanging="198"/>
      </w:pPr>
      <w:r>
        <w:t>5  遵循Router→Service→Repository→Model，服务端核对身份、归属和版本。等待模型或学生不持数据库锁；学生代码仅静态评审。自测声明、输出值核对、AI建议和教师确认分别记录；普通图表GET不触发Spark或模型。</w:t>
      </w:r>
    </w:p>
    <w:p>
      <w:pPr>
        <w:widowControl/>
        <w:ind w:left="198" w:hanging="198"/>
      </w:pPr>
      <w:r>
        <w:t>6  运行与本阶段相关的既有检查，前端按项目命令做类型/构建，后端使用已确认backend/.venv和unittest入口。数据、API、MySQL、Mock、Spark、模型质量和清理证据分别报告，历史成绩不写成本轮通过。</w:t>
      </w:r>
    </w:p>
    <w:p>
      <w:pPr>
        <w:widowControl/>
        <w:ind w:left="198" w:hanging="198"/>
      </w:pPr>
      <w:r>
        <w:t>7  中文日志沿用开发相关文档/开发日志/开发操作日志.md；报告放开发相关文档/阶段报告/AI大数据改造/V2。编号已按V2重排，旧阶段报告只经内容映射复用，不覆盖旧报告。不自动提交、推送、发布或开始下一阶段。</w:t>
      </w:r>
    </w:p>
    <w:p>
      <w:pPr>
        <w:pStyle w:val="Heading2"/>
      </w:pPr>
      <w:r>
        <w:rPr>
          <w:color w:val="000000"/>
        </w:rPr>
        <w:t>三 必须读取的输入</w:t>
      </w:r>
    </w:p>
    <w:p>
      <w:pPr>
        <w:widowControl/>
        <w:ind w:left="198" w:hanging="198"/>
      </w:pPr>
      <w:r>
        <w:t>1  S01批准契约、S08固定评价结果、S10主线完成证据和S12实验计划；核对真实剩余时间、待修复项及可动用模型预算。</w:t>
      </w:r>
    </w:p>
    <w:p>
      <w:pPr>
        <w:widowControl/>
        <w:ind w:left="198" w:hanging="198"/>
      </w:pPr>
      <w:r>
        <w:t>2  当前固定模板、会话、尝试、事件、候选应用与Context版本机制，现有需求、技术栈、架构和任务Prompt能力。</w:t>
      </w:r>
    </w:p>
    <w:p>
      <w:pPr>
        <w:widowControl/>
        <w:ind w:left="198" w:hanging="198"/>
      </w:pPr>
      <w:r>
        <w:t>3  用户选做范围记录；若选第二模板，另备规划任务、独立参考材料、评价量表与样例，不能直接套用CSV输出匹配标准。</w:t>
      </w:r>
    </w:p>
    <w:p>
      <w:pPr>
        <w:pStyle w:val="Heading2"/>
      </w:pPr>
      <w:r>
        <w:rPr>
          <w:color w:val="000000"/>
        </w:rPr>
        <w:t>四 本阶段实施步骤</w:t>
      </w:r>
    </w:p>
    <w:p>
      <w:pPr>
        <w:widowControl/>
        <w:ind w:left="198" w:hanging="198"/>
      </w:pPr>
      <w:r>
        <w:t>1  首先确认是否启动：把所选子项、具体文件接口影响、质量验证和预计工作量列明。没有明确选择就标本阶段跳过，直接交接S12；不能因文件存在或还有几天空闲自行扩大范围。</w:t>
      </w:r>
    </w:p>
    <w:p>
      <w:pPr>
        <w:widowControl/>
        <w:ind w:left="198" w:hanging="198"/>
      </w:pPr>
      <w:r>
        <w:t>2  选择自然语言草案时，仅允许生成受支持模板中的用途、任务、输入、提交物、验收项、前序与人工等待标记。固定模板仍能独立使用，草案失败不能阻塞已通过的主路径。</w:t>
      </w:r>
    </w:p>
    <w:p>
      <w:pPr>
        <w:widowControl/>
        <w:ind w:left="198" w:hanging="198"/>
      </w:pPr>
      <w:r>
        <w:t>3  资料缺失最多一轮三个关键问题；已有目标、语言或框架不重复询问。已定技术作为锁定约束，冲突方案仅作候选差异，不默默替换既定栈或改动项目事实。</w:t>
      </w:r>
    </w:p>
    <w:p>
      <w:pPr>
        <w:widowControl/>
        <w:ind w:left="198" w:hanging="198"/>
      </w:pPr>
      <w:r>
        <w:t>4  服务端确定性检查类型白名单、规模、必需输入、资源归属、引用存在、合法前序与无环关系。模型输出不能包含任意可执行代码、表达式、服务器路径或伪造资源标识作为运行逻辑。</w:t>
      </w:r>
    </w:p>
    <w:p>
      <w:pPr>
        <w:widowControl/>
        <w:ind w:left="198" w:hanging="198"/>
      </w:pPr>
      <w:r>
        <w:t>5  草案生成、审阅确认和开始实践分别触发，查询刷新无模型调用。调整显示版本与影响；已开始流程不就地改写已确认步骤，需要修订时只用已批准机制并保存来源。</w:t>
      </w:r>
    </w:p>
    <w:p>
      <w:pPr>
        <w:widowControl/>
        <w:ind w:left="198" w:hanging="198"/>
      </w:pPr>
      <w:r>
        <w:t>6  草案的技术、需求和架构内容属于候选，字段级审阅后才可按已有已批准机制应用Context；校验当前版本并保留输入来源。没有批准的写回能力时只展示，不另加隐式副作用。</w:t>
      </w:r>
    </w:p>
    <w:p>
      <w:pPr>
        <w:widowControl/>
        <w:ind w:left="198" w:hanging="198"/>
      </w:pPr>
      <w:r>
        <w:t>7  选择第二模板时，先固定项目启动规划的输入、交付物和验收要求；步骤可为目标验收、按需技术选型或架构、实施任务与成果确认。已有技术明确时减少选型，不把小函数练习套入系统设计。</w:t>
      </w:r>
    </w:p>
    <w:p>
      <w:pPr>
        <w:widowControl/>
        <w:ind w:left="198" w:hanging="198"/>
      </w:pPr>
      <w:r>
        <w:t>8  第二模板复用同一会话、尝试、事件和页面，保留明确模板与版本边界。任务Prompt使用当前输入、输出与验收，资料不足就解释缺口；不自动下载仓库、运行生成代码或修改用户项目。</w:t>
      </w:r>
    </w:p>
    <w:p>
      <w:pPr>
        <w:widowControl/>
        <w:ind w:left="198" w:hanging="198"/>
      </w:pPr>
      <w:r>
        <w:t>9  为项目启动另定质量评价，至少核对需求覆盖、交付可执行性、技术约束一致、架构引用一致和无依据承诺。使用独立规划案例与人工标准，不以CSV输出匹配、用户点确认或流程走完替代质量。</w:t>
      </w:r>
    </w:p>
    <w:p>
      <w:pPr>
        <w:widowControl/>
        <w:ind w:left="198" w:hanging="198"/>
      </w:pPr>
      <w:r>
        <w:t>10  真实模型验证只消费所选子项的明确授权额度。保留失败案例、人工评分和原始输出，若需新增评价集或调用预算先说明具体材料与影响；不能借用S08预算自动扩大任务。</w:t>
      </w:r>
    </w:p>
    <w:p>
      <w:pPr>
        <w:widowControl/>
        <w:ind w:left="198" w:hanging="198"/>
      </w:pPr>
      <w:r>
        <w:t>11  草案选项验证非法类型、跨用户引用、循环、缺输入和旧版本应用被拒绝；第二模板选项验证任务和成果不会串入CSV会话。只有已选择的子项需要验收，未选择项明确标跳过。</w:t>
      </w:r>
    </w:p>
    <w:p>
      <w:pPr>
        <w:widowControl/>
        <w:ind w:left="198" w:hanging="198"/>
      </w:pPr>
      <w:r>
        <w:t>12  分别检查所选子项对S06大数据主线、固定CSV实践、历史节点结果和高级画布的兼容。新增模板事件按版本独立统计，不混入旧群组漏斗或改写已发布批次。</w:t>
      </w:r>
    </w:p>
    <w:p>
      <w:pPr>
        <w:widowControl/>
        <w:ind w:left="198" w:hanging="198"/>
      </w:pPr>
      <w:r>
        <w:t>13  在预算和时间边界内收口，质量未通过就保留实验记录与可关闭入口，不依靠大幅扩展引擎补救。按真实完成范围交接S12，实验、论文和答辩证据不得为选做功能让路。</w:t>
      </w:r>
    </w:p>
    <w:p>
      <w:pPr>
        <w:pStyle w:val="Heading2"/>
      </w:pPr>
      <w:r>
        <w:rPr>
          <w:color w:val="000000"/>
        </w:rPr>
        <w:t>五 验收标准与证据</w:t>
      </w:r>
    </w:p>
    <w:p>
      <w:pPr>
        <w:widowControl/>
        <w:ind w:left="198" w:hanging="198"/>
      </w:pPr>
      <w:r>
        <w:t>1  默认跳过逻辑明确，启动有真实用户选择及核心门槛证据；草案与第二模板可分别选择，未选项不算缺陷或主线阻塞。</w:t>
      </w:r>
    </w:p>
    <w:p>
      <w:pPr>
        <w:widowControl/>
        <w:ind w:left="198" w:hanging="198"/>
      </w:pPr>
      <w:r>
        <w:t>2  若选草案：固定模板不依赖生成，非法内容由服务端拒绝，已定技术不被覆盖，确认前业务事实不变化。</w:t>
      </w:r>
    </w:p>
    <w:p>
      <w:pPr>
        <w:widowControl/>
        <w:ind w:left="198" w:hanging="198"/>
      </w:pPr>
      <w:r>
        <w:t>3  若选第二模板：项目启动与CSV的任务及验收有实际差异，并通过另定规划评价；不能把运行成功写成可泛化能力。</w:t>
      </w:r>
    </w:p>
    <w:p>
      <w:pPr>
        <w:widowControl/>
        <w:ind w:left="198" w:hanging="198"/>
      </w:pPr>
      <w:r>
        <w:t>4  候选来源、版本和确认可核对，真实模型评分与用量按所选范围单列；未授权、未运行和未通过均如实记录。</w:t>
      </w:r>
    </w:p>
    <w:p>
      <w:pPr>
        <w:widowControl/>
        <w:ind w:left="198" w:hanging="198"/>
      </w:pPr>
      <w:r>
        <w:t>5  原大数据批次、固定模板、旧路由结果及高级画布保持兼容；选做未完成不会阻塞S12对已完成主线的综合复验。</w:t>
      </w:r>
    </w:p>
    <w:p>
      <w:pPr>
        <w:widowControl/>
      </w:pPr>
      <w:r>
        <w:t>阶段门槛：默认跳过并直达S12；只有用户明确选择、全部核心质量门槛通过及实验论文时间得到保障才启动。任何一项不满足即停止选做；已选子项到达批准验收或时间预算边界就交接，不能继续追加功能来拖延综合实验。</w:t>
      </w:r>
    </w:p>
    <w:p>
      <w:pPr>
        <w:pStyle w:val="Heading2"/>
      </w:pPr>
      <w:r>
        <w:rPr>
          <w:color w:val="000000"/>
        </w:rPr>
        <w:t>六 明确不做的内容</w:t>
      </w:r>
    </w:p>
    <w:p>
      <w:pPr>
        <w:widowControl/>
        <w:ind w:left="198" w:hanging="198"/>
      </w:pPr>
      <w:r>
        <w:t>1  不建设模板市场、教师可视化编辑器、通用节点平台或在线代码执行环境。</w:t>
      </w:r>
    </w:p>
    <w:p>
      <w:pPr>
        <w:widowControl/>
        <w:ind w:left="198" w:hanging="198"/>
      </w:pPr>
      <w:r>
        <w:t>2  不把两个选项捆绑成必做，不把新增模型评价推迟到S12，不为选做牺牲实验和论文时间。</w:t>
      </w:r>
    </w:p>
    <w:p>
      <w:pPr>
        <w:widowControl/>
        <w:ind w:left="198" w:hanging="198"/>
      </w:pPr>
      <w:r>
        <w:t>3  不把两个模板可运行解释为任意场景泛化，不自动扩大公共API、持久化或收费模型授权。</w:t>
      </w:r>
    </w:p>
    <w:p>
      <w:pPr>
        <w:pStyle w:val="Heading2"/>
      </w:pPr>
      <w:r>
        <w:rPr>
          <w:color w:val="000000"/>
        </w:rPr>
        <w:t>七 交付与交接</w:t>
      </w:r>
    </w:p>
    <w:p>
      <w:pPr>
        <w:widowControl/>
        <w:ind w:left="198" w:hanging="198"/>
      </w:pPr>
      <w:r>
        <w:t>1  跳过时交付简明选择状态和S12输入索引；执行时交付S11完成报告及所选子项实际范围。</w:t>
      </w:r>
    </w:p>
    <w:p>
      <w:pPr>
        <w:widowControl/>
        <w:ind w:left="198" w:hanging="198"/>
      </w:pPr>
      <w:r>
        <w:t>2  提供草案合法非法样例或第二模板规划评价、原始结果和兼容证据，未选项明确标跳过。</w:t>
      </w:r>
    </w:p>
    <w:p>
      <w:pPr>
        <w:widowControl/>
        <w:ind w:left="198" w:hanging="198"/>
      </w:pPr>
      <w:r>
        <w:t>3  向S12交接既有实验材料和需复验项目，S12只综合复验与汇总，不作为Spark或AI首次质量验证阶段。</w:t>
      </w:r>
    </w:p>
    <w:p>
      <w:pPr>
        <w:pStyle w:val="Heading2"/>
      </w:pPr>
      <w:r>
        <w:rPr>
          <w:color w:val="000000"/>
        </w:rPr>
        <w:t>八 停止条件与回复格式</w:t>
      </w:r>
    </w:p>
    <w:p>
      <w:pPr>
        <w:widowControl/>
        <w:ind w:left="198" w:hanging="198"/>
      </w:pPr>
      <w:r>
        <w:t>1  完成本阶段验收后停止，下一阶段只交接。若已有能力符合验收就验证复用，不重复开发；发现外围问题只记录，不扩大范围。</w:t>
      </w:r>
    </w:p>
    <w:p>
      <w:pPr>
        <w:widowControl/>
        <w:ind w:left="198" w:hanging="198"/>
      </w:pPr>
      <w:r>
        <w:t>2  前置证据、必要授权、环境或质量门槛缺失时，交付已完成材料与准确阻塞。分别标通过、失败、未运行、待确认和未选择，不把工程通过或文档完成写成模型有效或整包完成。</w:t>
      </w:r>
    </w:p>
    <w:p>
      <w:pPr>
        <w:widowControl/>
        <w:ind w:left="198" w:hanging="198"/>
      </w:pPr>
      <w:r>
        <w:t>3  回复依次包含阶段与状态、基线保护、实际修改、契约及授权依据、检查与原始结果、证据路径、未完成影响、清理恢复、下一阶段输入。</w:t>
      </w:r>
    </w:p>
    <w:p>
      <w:pPr>
        <w:widowControl/>
      </w:pPr>
      <w:r>
        <w:t>报告建议路径：开发相关文档/阶段报告/AI大数据改造/V2/S11-完成报告.md。没有用户下一阶段指令，不执行下一阶段。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020" w:right="1077" w:bottom="964" w:left="1077" w:header="425" w:footer="42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6"/>
      </w:rPr>
      <w:t xml:space="preserve">S11 V2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000000"/>
        <w:sz w:val="16"/>
      </w:rPr>
      <w:t>ScholarHub  大数据主线与 AI 实践  V2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 w:val="0"/>
      <w:widowControl/>
      <w:spacing w:line="293" w:lineRule="auto" w:after="100" w:before="0"/>
    </w:pPr>
    <w:rPr>
      <w:rFonts w:ascii="Microsoft YaHei" w:hAnsi="Microsoft YaHei" w:eastAsia="Microsoft YaHei" w:cs="Microsoft YaHei"/>
      <w:b w:val="0"/>
      <w:i w:val="0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widowControl/>
      <w:spacing w:before="240" w:after="100" w:line="293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 w:val="0"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widowControl/>
      <w:spacing w:before="240" w:after="100" w:line="293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widowControl/>
      <w:spacing w:before="240" w:after="100" w:line="293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 w:cs="Microsoft YaHei"/>
      <w:b/>
      <w:bCs/>
      <w:i w:val="0"/>
      <w:color w:val="000000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widowControl/>
      <w:spacing w:after="280" w:line="293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 w:cs="Microsoft YaHei"/>
      <w:b/>
      <w:i w:val="0"/>
      <w:color w:val="000000"/>
      <w:spacing w:val="5"/>
      <w:kern w:val="28"/>
      <w:sz w:val="4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widowControl/>
      <w:numPr>
        <w:ilvl w:val="1"/>
      </w:numPr>
      <w:spacing w:line="293" w:lineRule="auto" w:after="100" w:before="0"/>
    </w:pPr>
    <w:rPr>
      <w:rFonts w:asciiTheme="majorHAnsi" w:eastAsiaTheme="majorEastAsia" w:hAnsiTheme="majorHAnsi" w:cstheme="majorBidi" w:ascii="Microsoft YaHei" w:hAnsi="Microsoft YaHei" w:eastAsia="Microsoft YaHei" w:cs="Microsoft YaHei"/>
      <w:b w:val="0"/>
      <w:i w:val="0"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S11 V2</dc:title>
  <dc:subject>数据科学与大数据技术专业阶段实施指令 V2</dc:subject>
  <dc:creator/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