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000000"/>
        </w:rPr>
        <w:t>ScholarHub S12 综合验收与对照实验复验</w:t>
      </w:r>
    </w:p>
    <w:p>
      <w:pPr>
        <w:pStyle w:val="Subtitle"/>
        <w:widowControl/>
      </w:pPr>
      <w:r>
        <w:t>V2 大数据主线优先  2026年10月19日  必做  建议安排 第5至6周 评价集从第1周积累</w:t>
      </w:r>
    </w:p>
    <w:p>
      <w:pPr>
        <w:widowControl/>
      </w:pPr>
      <w:r>
        <w:t>用法  单独上传本文件，并发送“只执行本阶段，完成验收与交接后停止”。V2编号已重排，请勿混用旧版同号文件。</w:t>
      </w:r>
    </w:p>
    <w:p>
      <w:pPr>
        <w:pStyle w:val="Heading1"/>
      </w:pPr>
      <w:r>
        <w:rPr>
          <w:color w:val="000000"/>
        </w:rPr>
        <w:t>可直接发送给 AI 的完整指令</w:t>
      </w:r>
    </w:p>
    <w:p>
      <w:pPr>
        <w:pStyle w:val="Heading2"/>
      </w:pPr>
      <w:r>
        <w:rPr>
          <w:color w:val="000000"/>
        </w:rPr>
        <w:t>一 当前任务与前置条件</w:t>
      </w:r>
    </w:p>
    <w:p>
      <w:pPr>
        <w:widowControl/>
      </w:pPr>
      <w:r>
        <w:t>请只执行 S12 综合验收与对照实验复验。目标：汇总并复验各阶段已开始的数据正确性、规模表现和AI质量评价，验证两条主线及兼容性，形成有原始结果的毕设证据。未完成AI时分别交付大数据核心状态与联合主线缺口，不冒称全部完成。</w:t>
      </w:r>
    </w:p>
    <w:p>
      <w:pPr>
        <w:widowControl/>
      </w:pPr>
      <w:r>
        <w:t>直接前置阶段：S06、S10。前置条件：完整联合主线验收需S06和S10通过；S11可标未选择而直接进入。本阶段可以先对已完成的大数据核心复验，但必须如实列出尚未完成的AI范围。真实写库/清理与模型调用仍须本轮明确授权。</w:t>
      </w:r>
    </w:p>
    <w:p>
      <w:pPr>
        <w:pStyle w:val="Heading2"/>
      </w:pPr>
      <w:r>
        <w:rPr>
          <w:color w:val="000000"/>
        </w:rPr>
        <w:t>二 共同执行约束</w:t>
      </w:r>
    </w:p>
    <w:p>
      <w:pPr>
        <w:widowControl/>
        <w:ind w:left="198" w:hanging="198"/>
      </w:pPr>
      <w:r>
        <w:t>1  你是能读取本地仓库的开发AI。根目录为C:\Users\Administrator\Desktop\毕业设计\ScholarHub。每次只执行一个阶段；本包不授权自动执行整包。先核对当前源码、Git与日志，保护已有未提交修改；无源码访问先列缺少材料。</w:t>
      </w:r>
    </w:p>
    <w:p>
      <w:pPr>
        <w:widowControl/>
        <w:ind w:left="198" w:hanging="198"/>
      </w:pPr>
      <w:r>
        <w:t>2  先读AGENTS.md和可用的stop-that-shit、frontend-backend-code-standards；前端沿用现有设计规范。保持Vue/TypeScript、FastAPI/SQLAlchemy/MySQL及Provider，复用既有结果模块化、测试与图表，不重建项目或无关格式化。</w:t>
      </w:r>
    </w:p>
    <w:p>
      <w:pPr>
        <w:widowControl/>
        <w:ind w:left="198" w:hanging="198"/>
      </w:pPr>
      <w:r>
        <w:t>3  新增依赖、公共API、持久化/迁移、兼容性与检查策略先给具体影响和方案，再按真实授权实施；S01已批准的同一范围不重复审批，新增范围不得自批。写库须确认本轮专用隔离目标及当前状态，不退回业务库或清空既有数据。</w:t>
      </w:r>
    </w:p>
    <w:p>
      <w:pPr>
        <w:widowControl/>
        <w:ind w:left="198" w:hanging="198"/>
      </w:pPr>
      <w:r>
        <w:t>4  真实收费模型先有模型、输入范围及调用/费用上限授权；安装、凭证和账户变更同样遵循明确授权。禁止输出.env、密钥、Token、密码或原始私人正文；Fake/Mock不代表真实模型质量。</w:t>
      </w:r>
    </w:p>
    <w:p>
      <w:pPr>
        <w:widowControl/>
        <w:ind w:left="198" w:hanging="198"/>
      </w:pPr>
      <w:r>
        <w:t>5  遵循Router→Service→Repository→Model，服务端核对身份、归属和版本。等待模型或学生不持数据库锁；学生代码仅静态评审。自测声明、输出值核对、AI建议和教师确认分别记录；普通图表GET不触发Spark或模型。</w:t>
      </w:r>
    </w:p>
    <w:p>
      <w:pPr>
        <w:widowControl/>
        <w:ind w:left="198" w:hanging="198"/>
      </w:pPr>
      <w:r>
        <w:t>6  运行与本阶段相关的既有检查，前端按项目命令做类型/构建，后端使用已确认backend/.venv和unittest入口。数据、API、MySQL、Mock、Spark、模型质量和清理证据分别报告，历史成绩不写成本轮通过。</w:t>
      </w:r>
    </w:p>
    <w:p>
      <w:pPr>
        <w:widowControl/>
        <w:ind w:left="198" w:hanging="198"/>
      </w:pPr>
      <w:r>
        <w:t>7  中文日志沿用开发相关文档/开发日志/开发操作日志.md；报告放开发相关文档/阶段报告/AI大数据改造/V2。编号已按V2重排，旧阶段报告只经内容映射复用，不覆盖旧报告。不自动提交、推送、发布或开始下一阶段。</w:t>
      </w:r>
    </w:p>
    <w:p>
      <w:pPr>
        <w:pStyle w:val="Heading2"/>
      </w:pPr>
      <w:r>
        <w:rPr>
          <w:color w:val="000000"/>
        </w:rPr>
        <w:t>三 必须读取的输入</w:t>
      </w:r>
    </w:p>
    <w:p>
      <w:pPr>
        <w:widowControl/>
        <w:ind w:left="198" w:hanging="198"/>
      </w:pPr>
      <w:r>
        <w:t>1  S01契约和评分表，S03固定数据与答案、S04正确性结果、S06初步规模/分析验证、S08模型评价、S10联合主线证据。</w:t>
      </w:r>
    </w:p>
    <w:p>
      <w:pPr>
        <w:widowControl/>
        <w:ind w:left="198" w:hanging="198"/>
      </w:pPr>
      <w:r>
        <w:t>2  所有已执行阶段报告、当前Git差异、现有CR9/Context/账号隔离/工作流并发/学习报告回归入口。S11若未选，不索要其实现报告。</w:t>
      </w:r>
    </w:p>
    <w:p>
      <w:pPr>
        <w:pStyle w:val="Heading2"/>
      </w:pPr>
      <w:r>
        <w:rPr>
          <w:color w:val="000000"/>
        </w:rPr>
        <w:t>四 本阶段实施步骤</w:t>
      </w:r>
    </w:p>
    <w:p>
      <w:pPr>
        <w:widowControl/>
        <w:ind w:left="198" w:hanging="198"/>
      </w:pPr>
      <w:r>
        <w:t>1  建立范围×证据矩阵，分开大数据核心、AI最小主线、S11选做和既有功能回归；每项标通过/失败/未运行/未选择，列出处、版本和是否影响答辩主张。</w:t>
      </w:r>
    </w:p>
    <w:p>
      <w:pPr>
        <w:widowControl/>
        <w:ind w:left="198" w:hanging="198"/>
      </w:pPr>
      <w:r>
        <w:t>2  复验同快照同规则的小样本与独立基线，覆盖NULL/0、UTC/DATE、199/200、取消与无样本、冲突ID、可信ACCEPT、源修改删除和群组分母；原始输入、Parquet、质量数、发布结果和图表可追踪。</w:t>
      </w:r>
    </w:p>
    <w:p>
      <w:pPr>
        <w:widowControl/>
        <w:ind w:left="198" w:hanging="198"/>
      </w:pPr>
      <w:r>
        <w:t>3  完成或扩大S06已开始的规模实验。固定数据分布、种子、规则、硬件和运行版本，记录行数/字节、分区、冷/热启动、耗时与可测资源，按机器能力重复。比较Python或SQL同口径输出；Spark较慢如实报告，合成规模不能冒称真实用户规模，单机local不称多机集群。</w:t>
      </w:r>
    </w:p>
    <w:p>
      <w:pPr>
        <w:widowControl/>
        <w:ind w:left="198" w:hanging="198"/>
      </w:pPr>
      <w:r>
        <w:t>4  基于S01定义的模型评价集复验S08结果。若比较普通聊天、旧批量工作流与新实践模式，保持任务、模型、材料、提交轮次和预算口径可比；分别解释反馈质量与版本关联/恢复机制贡献。保留原始输出、人工评分与失败，不以Fake代替质量。</w:t>
      </w:r>
    </w:p>
    <w:p>
      <w:pPr>
        <w:widowControl/>
        <w:ind w:left="198" w:hanging="198"/>
      </w:pPr>
      <w:r>
        <w:t>5  真实模型无授权或用量不足时交付固定评价集和未运行清单，质量状态保持未验收。无真实参与者实验时，只支持技术案例结论，不能填写普遍学习提升比例。</w:t>
      </w:r>
    </w:p>
    <w:p>
      <w:pPr>
        <w:widowControl/>
        <w:ind w:left="198" w:hanging="198"/>
      </w:pPr>
      <w:r>
        <w:t>6  按风险运行已有后端检查、前端类型/构建、隔离MySQL/真实API浏览器主线；验证失败发布、空批次鉴权、重复动作、版本冲突、旧结果、取消后迟到响应和旧画布/all/incomplete兼容，不新增框架或降低检查。</w:t>
      </w:r>
    </w:p>
    <w:p>
      <w:pPr>
        <w:widowControl/>
        <w:ind w:left="198" w:hanging="198"/>
      </w:pPr>
      <w:r>
        <w:t>7  演示现有业务→多源快照→Spark→发布图表，以及新实践提示→提交→反馈→修改/直接确认→新增事件→建议应用。一次正确、需要多次修改、无提交、取消恢复均有相应证据，不为演示强制制造错误。</w:t>
      </w:r>
    </w:p>
    <w:p>
      <w:pPr>
        <w:widowControl/>
        <w:ind w:left="198" w:hanging="198"/>
      </w:pPr>
      <w:r>
        <w:t>8  按批准范围清理本轮隔离测试主体并查询剩余量，保留约定库表。只修复当前可达阻塞，独立记录浏览器失败、模型失败、性能与清理结果，持续更新论文主张对应证据。</w:t>
      </w:r>
    </w:p>
    <w:p>
      <w:pPr>
        <w:pStyle w:val="Heading2"/>
      </w:pPr>
      <w:r>
        <w:rPr>
          <w:color w:val="000000"/>
        </w:rPr>
        <w:t>五 验收标准与证据</w:t>
      </w:r>
    </w:p>
    <w:p>
      <w:pPr>
        <w:widowControl/>
        <w:ind w:left="198" w:hanging="198"/>
      </w:pPr>
      <w:r>
        <w:t>1  至少一个分析专题有固定答案/方法说明、独立结果对照、图表来源和规模原始值。</w:t>
      </w:r>
    </w:p>
    <w:p>
      <w:pPr>
        <w:widowControl/>
        <w:ind w:left="198" w:hanging="198"/>
      </w:pPr>
      <w:r>
        <w:t>2  大数据核心与AI联合状态分别准确；模型质量未运行、选做未选择不被改写为通过。</w:t>
      </w:r>
    </w:p>
    <w:p>
      <w:pPr>
        <w:widowControl/>
        <w:ind w:left="198" w:hanging="198"/>
      </w:pPr>
      <w:r>
        <w:t>3  旧功能相关回归、批次一致性、授权和恢复证据完整；关键未验收项明确阻塞哪条结论。</w:t>
      </w:r>
    </w:p>
    <w:p>
      <w:pPr>
        <w:widowControl/>
        <w:ind w:left="198" w:hanging="198"/>
      </w:pPr>
      <w:r>
        <w:t>4  数据、评分、命令与版本可复现，不新增虚构成绩、提升百分比或清理成功记录。</w:t>
      </w:r>
    </w:p>
    <w:p>
      <w:pPr>
        <w:widowControl/>
      </w:pPr>
      <w:r>
        <w:t>阶段门槛：没有实际Spark结果与至少一项分析验证，不能宣称大数据核心完成；AI质量缺证据保持未验收。S11未选择不阻止本阶段。</w:t>
      </w:r>
    </w:p>
    <w:p>
      <w:pPr>
        <w:pStyle w:val="Heading2"/>
      </w:pPr>
      <w:r>
        <w:rPr>
          <w:color w:val="000000"/>
        </w:rPr>
        <w:t>六 明确不做的内容</w:t>
      </w:r>
    </w:p>
    <w:p>
      <w:pPr>
        <w:widowControl/>
        <w:ind w:left="198" w:hanging="198"/>
      </w:pPr>
      <w:r>
        <w:t>1  不首次临时决定评价指标，不用业务库做测试库，不自动调用付费模型或招募用户。</w:t>
      </w:r>
    </w:p>
    <w:p>
      <w:pPr>
        <w:widowControl/>
        <w:ind w:left="198" w:hanging="198"/>
      </w:pPr>
      <w:r>
        <w:t>2  不以补第二模板挤占实验论文时间，不顺便部署生产或启动无限审计。</w:t>
      </w:r>
    </w:p>
    <w:p>
      <w:pPr>
        <w:pStyle w:val="Heading2"/>
      </w:pPr>
      <w:r>
        <w:rPr>
          <w:color w:val="000000"/>
        </w:rPr>
        <w:t>七 交付与交接</w:t>
      </w:r>
    </w:p>
    <w:p>
      <w:pPr>
        <w:widowControl/>
        <w:ind w:left="198" w:hanging="198"/>
      </w:pPr>
      <w:r>
        <w:t>1  S12-完成报告.md、最终验收矩阵、数据/性能/模型原始结果与复现说明。</w:t>
      </w:r>
    </w:p>
    <w:p>
      <w:pPr>
        <w:widowControl/>
        <w:ind w:left="198" w:hanging="198"/>
      </w:pPr>
      <w:r>
        <w:t>2  交S13的主张证据表、正式范围、精确未完成项和演示所用批次。</w:t>
      </w:r>
    </w:p>
    <w:p>
      <w:pPr>
        <w:pStyle w:val="Heading2"/>
      </w:pPr>
      <w:r>
        <w:rPr>
          <w:color w:val="000000"/>
        </w:rPr>
        <w:t>八 停止条件与回复格式</w:t>
      </w:r>
    </w:p>
    <w:p>
      <w:pPr>
        <w:widowControl/>
        <w:ind w:left="198" w:hanging="198"/>
      </w:pPr>
      <w:r>
        <w:t>1  完成本阶段验收后停止，下一阶段只交接。若已有能力符合验收就验证复用，不重复开发；发现外围问题只记录，不扩大范围。</w:t>
      </w:r>
    </w:p>
    <w:p>
      <w:pPr>
        <w:widowControl/>
        <w:ind w:left="198" w:hanging="198"/>
      </w:pPr>
      <w:r>
        <w:t>2  前置证据、必要授权、环境或质量门槛缺失时，交付已完成材料与准确阻塞。分别标通过、失败、未运行、待确认和未选择，不把工程通过或文档完成写成模型有效或整包完成。</w:t>
      </w:r>
    </w:p>
    <w:p>
      <w:pPr>
        <w:widowControl/>
        <w:ind w:left="198" w:hanging="198"/>
      </w:pPr>
      <w:r>
        <w:t>3  回复依次包含阶段与状态、基线保护、实际修改、契约及授权依据、检查与原始结果、证据路径、未完成影响、清理恢复、下一阶段输入。</w:t>
      </w:r>
    </w:p>
    <w:p>
      <w:pPr>
        <w:widowControl/>
      </w:pPr>
      <w:r>
        <w:t>报告建议路径：开发相关文档/阶段报告/AI大数据改造/V2/S12-完成报告.md。没有用户下一阶段指令，不执行下一阶段。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20" w:right="1077" w:bottom="964" w:left="1077" w:header="425" w:footer="425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sz w:val="16"/>
      </w:rPr>
      <w:t xml:space="preserve">S12 V2  | 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/>
    <w:r>
      <w:rPr>
        <w:color w:val="000000"/>
        <w:sz w:val="16"/>
      </w:rPr>
      <w:t>ScholarHub  大数据主线与 AI 实践  V2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keepNext w:val="0"/>
      <w:widowControl/>
      <w:spacing w:line="293" w:lineRule="auto" w:after="100" w:before="0"/>
    </w:pPr>
    <w:rPr>
      <w:rFonts w:ascii="Microsoft YaHei" w:hAnsi="Microsoft YaHei" w:eastAsia="Microsoft YaHei" w:cs="Microsoft YaHei"/>
      <w:b w:val="0"/>
      <w:i w:val="0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widowControl/>
      <w:spacing w:before="240" w:after="100" w:line="293" w:lineRule="auto"/>
      <w:outlineLvl w:val="0"/>
    </w:pPr>
    <w:rPr>
      <w:rFonts w:asciiTheme="majorHAnsi" w:eastAsiaTheme="majorEastAsia" w:hAnsiTheme="majorHAnsi" w:cstheme="majorBidi" w:ascii="Microsoft YaHei" w:hAnsi="Microsoft YaHei" w:eastAsia="Microsoft YaHei" w:cs="Microsoft YaHei"/>
      <w:b/>
      <w:bCs/>
      <w:i w:val="0"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widowControl/>
      <w:spacing w:before="240" w:after="100" w:line="293" w:lineRule="auto"/>
      <w:outlineLvl w:val="1"/>
    </w:pPr>
    <w:rPr>
      <w:rFonts w:asciiTheme="majorHAnsi" w:eastAsiaTheme="majorEastAsia" w:hAnsiTheme="majorHAnsi" w:cstheme="majorBidi" w:ascii="Microsoft YaHei" w:hAnsi="Microsoft YaHei" w:eastAsia="Microsoft YaHei" w:cs="Microsoft YaHei"/>
      <w:b/>
      <w:bCs/>
      <w:i w:val="0"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widowControl/>
      <w:spacing w:before="240" w:after="100" w:line="293" w:lineRule="auto"/>
      <w:outlineLvl w:val="2"/>
    </w:pPr>
    <w:rPr>
      <w:rFonts w:asciiTheme="majorHAnsi" w:eastAsiaTheme="majorEastAsia" w:hAnsiTheme="majorHAnsi" w:cstheme="majorBidi" w:ascii="Microsoft YaHei" w:hAnsi="Microsoft YaHei" w:eastAsia="Microsoft YaHei" w:cs="Microsoft YaHei"/>
      <w:b/>
      <w:bCs/>
      <w:i w:val="0"/>
      <w:color w:val="000000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widowControl/>
      <w:spacing w:after="280" w:line="293" w:lineRule="auto" w:before="0"/>
      <w:contextualSpacing/>
    </w:pPr>
    <w:rPr>
      <w:rFonts w:asciiTheme="majorHAnsi" w:eastAsiaTheme="majorEastAsia" w:hAnsiTheme="majorHAnsi" w:cstheme="majorBidi" w:ascii="Microsoft YaHei" w:hAnsi="Microsoft YaHei" w:eastAsia="Microsoft YaHei" w:cs="Microsoft YaHei"/>
      <w:b/>
      <w:i w:val="0"/>
      <w:color w:val="000000"/>
      <w:spacing w:val="5"/>
      <w:kern w:val="28"/>
      <w:sz w:val="4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widowControl/>
      <w:numPr>
        <w:ilvl w:val="1"/>
      </w:numPr>
      <w:spacing w:line="293" w:lineRule="auto" w:after="100" w:before="0"/>
    </w:pPr>
    <w:rPr>
      <w:rFonts w:asciiTheme="majorHAnsi" w:eastAsiaTheme="majorEastAsia" w:hAnsiTheme="majorHAnsi" w:cstheme="majorBidi" w:ascii="Microsoft YaHei" w:hAnsi="Microsoft YaHei" w:eastAsia="Microsoft YaHei" w:cs="Microsoft YaHei"/>
      <w:b w:val="0"/>
      <w:i w:val="0"/>
      <w:iCs/>
      <w:color w:val="000000"/>
      <w:spacing w:val="15"/>
      <w:sz w:val="2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S12 V2</dc:title>
  <dc:subject>数据科学与大数据技术专业阶段实施指令 V2</dc:subject>
  <dc:creator/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