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S13 论文答辩与最终交接</w:t>
      </w:r>
    </w:p>
    <w:p>
      <w:pPr>
        <w:pStyle w:val="Subtitle"/>
        <w:widowControl/>
      </w:pPr>
      <w:r>
        <w:t>V2 大数据主线优先  2026年10月19日  必做  建议安排 第6周 材料持续积累</w:t>
      </w:r>
    </w:p>
    <w:p>
      <w:pPr>
        <w:widowControl/>
      </w:pPr>
      <w:r>
        <w:t>用法  单独上传本文件，并发送“只执行本阶段，完成验收与交接后停止”。V2编号已重排，请勿混用旧版同号文件。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S13 论文答辩与最终交接。目标：围绕数据处理与分析主线组织论文、演示和维护材料，准确说明AI实践的辅助作用，保证所有主张与实际实现及实验对应。</w:t>
      </w:r>
    </w:p>
    <w:p>
      <w:pPr>
        <w:widowControl/>
      </w:pPr>
      <w:r>
        <w:t>直接前置阶段：S12。前置条件：S12已有可审查验收矩阵；没有通过的能力继续列入未完成或未来工作。S11默认不在必需输入中，只有实际执行才纳入。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>1  你是能读取本地仓库的开发AI。根目录为C:\Users\Administrator\Desktop\毕业设计\ScholarHub。每次只执行一个阶段；本包不授权自动执行整包。先核对当前源码、Git与日志，保护已有未提交修改；无源码访问先列缺少材料。</w:t>
      </w:r>
    </w:p>
    <w:p>
      <w:pPr>
        <w:widowControl/>
        <w:ind w:left="198" w:hanging="198"/>
      </w:pPr>
      <w:r>
        <w:t>2  先读AGENTS.md和可用的stop-that-shit、frontend-backend-code-standards；前端沿用现有设计规范。保持Vue/TypeScript、FastAPI/SQLAlchemy/MySQL及Provider，复用既有结果模块化、测试与图表，不重建项目或无关格式化。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>7  中文日志沿用开发相关文档/开发日志/开发操作日志.md；报告放开发相关文档/阶段报告/AI大数据改造/V2。编号已按V2重排，旧阶段报告只经内容映射复用，不覆盖旧报告。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S00基线、S01范围和评价契约、已执行阶段报告、实际代码/迁移/API与S12原始实验。</w:t>
      </w:r>
    </w:p>
    <w:p>
      <w:pPr>
        <w:widowControl/>
        <w:ind w:left="198" w:hanging="198"/>
      </w:pPr>
      <w:r>
        <w:t>2  已有论文/说明位置、任务书中已经确认的要求、演示账号与数据说明（不含密码）、发布批次与模型评价结果。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定稿题目、研究问题和范围。建议方向为基于Spark的学习过程数据分析与AI辅助实践；具体题名服从已确认任务书。说明业务角色、数据单位、核心分析问题和可检验结论。</w:t>
      </w:r>
    </w:p>
    <w:p>
      <w:pPr>
        <w:widowControl/>
        <w:ind w:left="198" w:hanging="198"/>
      </w:pPr>
      <w:r>
        <w:t>2  论文重点讲数据来源与质量、快照和分层建模、Spark清洗关联与聚合、专题分析方法、批次发布和实验结果；用真实代码与输出解释NULL/0、可信来源、群组分母和状态快照限制。</w:t>
      </w:r>
    </w:p>
    <w:p>
      <w:pPr>
        <w:widowControl/>
        <w:ind w:left="198" w:hanging="198"/>
      </w:pPr>
      <w:r>
        <w:t>3  将AI部分表述为可恢复实践、确切提交反馈绑定、事实约束和建议应用。引用固定案例评价与恢复测试，不把调用外部模型称自研基础模型，也不把用户确认称学习能力提升。</w:t>
      </w:r>
    </w:p>
    <w:p>
      <w:pPr>
        <w:widowControl/>
        <w:ind w:left="198" w:hanging="198"/>
      </w:pPr>
      <w:r>
        <w:t>4  形成8至12分钟演示：一条已有业务数据链→快照质量和Spark作业→专题图表及依据→最小AI实践及反馈→新增事件与下一步建议。耗时作业可展示已完成批次和实际日志，说明截止时间，不冒充实时或多机计算。</w:t>
      </w:r>
    </w:p>
    <w:p>
      <w:pPr>
        <w:widowControl/>
        <w:ind w:left="198" w:hanging="198"/>
      </w:pPr>
      <w:r>
        <w:t>5  每个专业贡献对应源码、数据、运行/截图和实验。报告同口径基线、规模选择理由、硬件参数与失败；真实案例和合成实验分开。选做模板未完成时不放在已实现清单。</w:t>
      </w:r>
    </w:p>
    <w:p>
      <w:pPr>
        <w:widowControl/>
        <w:ind w:left="198" w:hanging="198"/>
      </w:pPr>
      <w:r>
        <w:t>6  整理启动/停止、Windows与WSL职责、配置项、迁移顺序、导出/计算/发布命令、数据恢复及验证入口；不记录秘密。统一过期README与历史报告的状态口径，保留带日期的历史记录。</w:t>
      </w:r>
    </w:p>
    <w:p>
      <w:pPr>
        <w:widowControl/>
        <w:ind w:left="198" w:hanging="198"/>
      </w:pPr>
      <w:r>
        <w:t>7  按实际需要更新材料索引与论文提纲，生成文档需采用可用渲染链逐页检查。形成最终Git差异与交接清单，不追加外围功能或自动提交、推送、对外发布。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大数据链路、分析方法和实验具有实际证据；AI主张在已验证范围内。</w:t>
      </w:r>
    </w:p>
    <w:p>
      <w:pPr>
        <w:widowControl/>
        <w:ind w:left="198" w:hanging="198"/>
      </w:pPr>
      <w:r>
        <w:t>2  演示按步骤可复现，批次时间、模型等待、人工确认和合成规模含义清楚。</w:t>
      </w:r>
    </w:p>
    <w:p>
      <w:pPr>
        <w:widowControl/>
        <w:ind w:left="198" w:hanging="198"/>
      </w:pPr>
      <w:r>
        <w:t>3  任务书对照、正文、API、图表口径、实验与实现清单一致，未完成和未选择项分开。</w:t>
      </w:r>
    </w:p>
    <w:p>
      <w:pPr>
        <w:widowControl/>
        <w:ind w:left="198" w:hanging="198"/>
      </w:pPr>
      <w:r>
        <w:t>4  维护交接与最终差异已复核，无凭证、虚构成绩或未经执行的成功记录。</w:t>
      </w:r>
    </w:p>
    <w:p>
      <w:pPr>
        <w:widowControl/>
      </w:pPr>
      <w:r>
        <w:t>阶段门槛：论文主张超出证据时先收窄表述；仍未完成的实现不得用文档包装为完成。到此结束本包。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不把计划、环境安装、Mock或截图样例当作全部专业核心已经实现。</w:t>
      </w:r>
    </w:p>
    <w:p>
      <w:pPr>
        <w:widowControl/>
        <w:ind w:left="198" w:hanging="198"/>
      </w:pPr>
      <w:r>
        <w:t>2  不新增功能、补造实验、承诺真实学校应用效果或自动发布。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S13-完成报告.md、最终证据索引、论文提纲、答辩脚本、任务书对照与维护交接。</w:t>
      </w:r>
    </w:p>
    <w:p>
      <w:pPr>
        <w:widowControl/>
        <w:ind w:left="198" w:hanging="198"/>
      </w:pPr>
      <w:r>
        <w:t>2  明确大数据核心、AI联合主线和选做的最终状态，交付后停止。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报告建议路径：开发相关文档/阶段报告/AI大数据改造/V2/S13-完成报告.md。没有用户下一阶段指令，不执行下一阶段。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S13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S13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