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Microsoft YaHei"/>
          <w:b/>
          <w:color w:val="000000"/>
          <w:sz w:val="48"/>
        </w:rPr>
        <w:t>ScholarHub 代码全量审查报告</w:t>
      </w:r>
    </w:p>
    <w:p>
      <w:pPr>
        <w:spacing w:after="280"/>
      </w:pPr>
      <w:r>
        <w:rPr>
          <w:rFonts w:ascii="Calibri" w:hAnsi="Calibri" w:eastAsia="Microsoft YaHei"/>
          <w:color w:val="595959"/>
          <w:sz w:val="24"/>
        </w:rPr>
        <w:t>编写规范与冗余代码专项审查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26"/>
        <w:gridCol w:w="5026"/>
      </w:tblGrid>
      <w:tr>
        <w:trPr>
          <w:cantSplit/>
        </w:trPr>
        <w:tc>
          <w:tcPr>
            <w:tcW w:type="dxa" w:w="180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1F1F"/>
                <w:sz w:val="18"/>
              </w:rPr>
              <w:t>审查日期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2026年9月6日</w:t>
            </w:r>
          </w:p>
        </w:tc>
      </w:tr>
      <w:tr>
        <w:trPr>
          <w:cantSplit/>
        </w:trPr>
        <w:tc>
          <w:tcPr>
            <w:tcW w:type="dxa" w:w="180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1F1F"/>
                <w:sz w:val="18"/>
              </w:rPr>
              <w:t>项目位置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C:\Users\Administrator\Desktop\毕业设计\ScholarHub</w:t>
            </w:r>
          </w:p>
        </w:tc>
      </w:tr>
      <w:tr>
        <w:trPr>
          <w:cantSplit/>
        </w:trPr>
        <w:tc>
          <w:tcPr>
            <w:tcW w:type="dxa" w:w="180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1F1F"/>
                <w:sz w:val="18"/>
              </w:rPr>
              <w:t>审查范围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当前工作区的后端、前端、测试与脚本代码</w:t>
            </w:r>
          </w:p>
        </w:tc>
      </w:tr>
      <w:tr>
        <w:trPr>
          <w:cantSplit/>
        </w:trPr>
        <w:tc>
          <w:tcPr>
            <w:tcW w:type="dxa" w:w="180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1F1F"/>
                <w:sz w:val="18"/>
              </w:rPr>
              <w:t>审查性质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只读审查，不修改业务代码</w:t>
            </w:r>
          </w:p>
        </w:tc>
      </w:tr>
    </w:tbl>
    <w:p>
      <w:pPr>
        <w:spacing w:after="0"/>
      </w:pPr>
    </w:p>
    <w:p>
      <w:pPr>
        <w:pStyle w:val="Heading1"/>
      </w:pPr>
      <w:r>
        <w:t>执行摘要</w:t>
      </w:r>
    </w:p>
    <w:p>
      <w:pPr>
        <w:keepLines/>
      </w:pPr>
      <w:r>
        <w:rPr>
          <w:rFonts w:ascii="Calibri" w:hAnsi="Calibri" w:eastAsia="Microsoft YaHei"/>
        </w:rPr>
        <w:t>本次审查覆盖 ScholarHub 当前未提交工作区。现有自动化验证全部通过，说明主流程具备可运行基础；但静态审查发现四项高优先级风险，集中在异步边界、重复写路径、数据库命名锁生命周期和认证限流。建议在处理这些问题并补充针对性回归测试前，暂缓直接合并当前工作区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0"/>
        </w:rPr>
        <w:t>测试状态良好：后端 167 项单元测试通过，前端类型检查与生产构建通过。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0"/>
        </w:rPr>
        <w:t>风险仍需处理：现有测试未覆盖事件循环阻塞、并发锁连接归属、重复业务规则漂移和验证码容量耗尽。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0"/>
        </w:rPr>
        <w:t>冗余可分批清理：已确认一条不可达前端健康检查链，以及多组重复表单、校验和结果构造逻辑。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0"/>
        </w:rPr>
        <w:t>规范门禁不足：后端无 Ruff、Mypy 等统一配置，前端缺少标准 lint 和 test 脚本。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44"/>
        <w:gridCol w:w="2232"/>
        <w:gridCol w:w="1224"/>
        <w:gridCol w:w="4536"/>
      </w:tblGrid>
      <w:tr>
        <w:trPr>
          <w:tblHeader w:val="true"/>
          <w:cantSplit/>
        </w:trPr>
        <w:tc>
          <w:tcPr>
            <w:tcW w:type="dxa" w:w="194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审查指标</w:t>
            </w:r>
          </w:p>
        </w:tc>
        <w:tc>
          <w:tcPr>
            <w:tcW w:type="dxa" w:w="223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22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53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代码规模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233 个文件，约 30,887 行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已覆盖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含后端应用、测试、脚本及前端源码</w:t>
            </w:r>
          </w:p>
        </w:tc>
      </w:tr>
      <w:tr>
        <w:trPr>
          <w:cantSplit/>
        </w:trPr>
        <w:tc>
          <w:tcPr>
            <w:tcW w:type="dxa" w:w="1944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后端测试</w:t>
            </w:r>
          </w:p>
        </w:tc>
        <w:tc>
          <w:tcPr>
            <w:tcW w:type="dxa" w:w="2232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167 项</w:t>
            </w:r>
          </w:p>
        </w:tc>
        <w:tc>
          <w:tcPr>
            <w:tcW w:type="dxa" w:w="1224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通过</w:t>
            </w:r>
          </w:p>
        </w:tc>
        <w:tc>
          <w:tcPr>
            <w:tcW w:type="dxa" w:w="453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unittest 全量发现执行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前端验证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类型检查与构建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通过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构建产生一个体积预警</w:t>
            </w:r>
          </w:p>
        </w:tc>
      </w:tr>
      <w:tr>
        <w:trPr>
          <w:cantSplit/>
        </w:trPr>
        <w:tc>
          <w:tcPr>
            <w:tcW w:type="dxa" w:w="1944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接口契约</w:t>
            </w:r>
          </w:p>
        </w:tc>
        <w:tc>
          <w:tcPr>
            <w:tcW w:type="dxa" w:w="2232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68 paths / 102 operations</w:t>
            </w:r>
          </w:p>
        </w:tc>
        <w:tc>
          <w:tcPr>
            <w:tcW w:type="dxa" w:w="1224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通过</w:t>
            </w:r>
          </w:p>
        </w:tc>
        <w:tc>
          <w:tcPr>
            <w:tcW w:type="dxa" w:w="453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170 schemas，无重复 operationId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高优先级问题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4 项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待整改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建议合并前处理</w:t>
            </w:r>
          </w:p>
        </w:tc>
      </w:tr>
      <w:tr>
        <w:trPr>
          <w:cantSplit/>
        </w:trPr>
        <w:tc>
          <w:tcPr>
            <w:tcW w:type="dxa" w:w="1944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中优先级问题</w:t>
            </w:r>
          </w:p>
        </w:tc>
        <w:tc>
          <w:tcPr>
            <w:tcW w:type="dxa" w:w="2232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5 项</w:t>
            </w:r>
          </w:p>
        </w:tc>
        <w:tc>
          <w:tcPr>
            <w:tcW w:type="dxa" w:w="1224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待计划</w:t>
            </w:r>
          </w:p>
        </w:tc>
        <w:tc>
          <w:tcPr>
            <w:tcW w:type="dxa" w:w="453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建议在下一轮集中处理</w:t>
            </w:r>
          </w:p>
        </w:tc>
      </w:tr>
    </w:tbl>
    <w:p>
      <w:pPr>
        <w:spacing w:after="0"/>
      </w:pPr>
    </w:p>
    <w:p>
      <w:pPr>
        <w:pStyle w:val="Heading1"/>
      </w:pPr>
      <w:r>
        <w:t>审查范围与方法</w:t>
      </w:r>
    </w:p>
    <w:p>
      <w:r>
        <w:rPr>
          <w:rFonts w:ascii="Calibri" w:hAnsi="Calibri" w:eastAsia="Microsoft YaHei"/>
        </w:rPr>
        <w:t>审查对象为当前 main 分支工作树，而非某个历史提交。审查时工作区已有 41 个受版本控制文件发生变更，另有多项未跟踪文件；本报告对现状进行评价，不将既有改动归因于本次审查。</w:t>
      </w:r>
    </w:p>
    <w:p>
      <w:r>
        <w:rPr>
          <w:rFonts w:ascii="Calibri" w:hAnsi="Calibri" w:eastAsia="Microsoft YaHei"/>
        </w:rPr>
        <w:t>审查方法包括代码目录盘点、重点模块逐文件阅读、调用链与状态机对照、前端导入可达性检查、OpenAPI 契约检查、敏感模式搜索、差异空白检查以及现有测试、类型检查和构建验证。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56"/>
        <w:gridCol w:w="3096"/>
        <w:gridCol w:w="5184"/>
      </w:tblGrid>
      <w:tr>
        <w:trPr>
          <w:tblHeader w:val="true"/>
          <w:cantSplit/>
        </w:trPr>
        <w:tc>
          <w:tcPr>
            <w:tcW w:type="dxa" w:w="165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检查维度</w:t>
            </w:r>
          </w:p>
        </w:tc>
        <w:tc>
          <w:tcPr>
            <w:tcW w:type="dxa" w:w="309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主要方法</w:t>
            </w:r>
          </w:p>
        </w:tc>
        <w:tc>
          <w:tcPr>
            <w:tcW w:type="dxa" w:w="518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覆盖重点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正确性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服务与仓储调用链对照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状态迁移、关联约束、事务与并发</w:t>
            </w:r>
          </w:p>
        </w:tc>
      </w:tr>
      <w:tr>
        <w:trPr>
          <w:cantSplit/>
        </w:trPr>
        <w:tc>
          <w:tcPr>
            <w:tcW w:type="dxa" w:w="165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安全性</w:t>
            </w:r>
          </w:p>
        </w:tc>
        <w:tc>
          <w:tcPr>
            <w:tcW w:type="dxa" w:w="309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认证路径与敏感模式审查</w:t>
            </w:r>
          </w:p>
        </w:tc>
        <w:tc>
          <w:tcPr>
            <w:tcW w:type="dxa" w:w="5184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限流、验证码、口令哈希、硬编码信息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规范性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结构、命名、长度与门禁检查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异步边界、重复规则、超长文件、lint 配置</w:t>
            </w:r>
          </w:p>
        </w:tc>
      </w:tr>
      <w:tr>
        <w:trPr>
          <w:cantSplit/>
        </w:trPr>
        <w:tc>
          <w:tcPr>
            <w:tcW w:type="dxa" w:w="165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冗余性</w:t>
            </w:r>
          </w:p>
        </w:tc>
        <w:tc>
          <w:tcPr>
            <w:tcW w:type="dxa" w:w="309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入口导入可达性与相似实现对照</w:t>
            </w:r>
          </w:p>
        </w:tc>
        <w:tc>
          <w:tcPr>
            <w:tcW w:type="dxa" w:w="5184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死代码、重复表单、重复校验、重复模型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可验证性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测试、类型检查、构建、OpenAPI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已执行门禁与未覆盖边界</w:t>
            </w:r>
          </w:p>
        </w:tc>
      </w:tr>
    </w:tbl>
    <w:p>
      <w:pPr>
        <w:spacing w:after="0"/>
      </w:pPr>
    </w:p>
    <w:p>
      <w:pPr>
        <w:pStyle w:val="Heading1"/>
      </w:pPr>
      <w:r>
        <w:t>风险分级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080"/>
        <w:gridCol w:w="5328"/>
        <w:gridCol w:w="3528"/>
      </w:tblGrid>
      <w:tr>
        <w:trPr>
          <w:tblHeader w:val="true"/>
          <w:cantSplit/>
        </w:trPr>
        <w:tc>
          <w:tcPr>
            <w:tcW w:type="dxa" w:w="108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532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判定口径</w:t>
            </w:r>
          </w:p>
        </w:tc>
        <w:tc>
          <w:tcPr>
            <w:tcW w:type="dxa" w:w="352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处理建议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高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可能导致并发退化、业务约束绕过、安全防护缺口或资源锁异常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合并前整改并补充测试</w:t>
            </w:r>
          </w:p>
        </w:tc>
      </w:tr>
      <w:tr>
        <w:trPr>
          <w:cantSplit/>
        </w:trPr>
        <w:tc>
          <w:tcPr>
            <w:tcW w:type="dxa" w:w="1080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中</w:t>
            </w:r>
          </w:p>
        </w:tc>
        <w:tc>
          <w:tcPr>
            <w:tcW w:type="dxa" w:w="5328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已形成接口职责漂移、状态所有权不清、样式冲突或数据残留风险</w:t>
            </w:r>
          </w:p>
        </w:tc>
        <w:tc>
          <w:tcPr>
            <w:tcW w:type="dxa" w:w="3528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下一轮集中整改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低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死代码、未使用符号、重复定义和可维护性热点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在行为保持前提下分批清理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高优先级问题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92"/>
        <w:gridCol w:w="3096"/>
        <w:gridCol w:w="3240"/>
        <w:gridCol w:w="2880"/>
      </w:tblGrid>
      <w:tr>
        <w:trPr>
          <w:tblHeader w:val="true"/>
          <w:cantSplit/>
        </w:trPr>
        <w:tc>
          <w:tcPr>
            <w:tcW w:type="dxa" w:w="792"/>
            <w:shd w:fill="C00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096"/>
            <w:shd w:fill="C00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240"/>
            <w:shd w:fill="C00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主要影响</w:t>
            </w:r>
          </w:p>
        </w:tc>
        <w:tc>
          <w:tcPr>
            <w:tcW w:type="dxa" w:w="2880"/>
            <w:shd w:fill="C00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H1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同步调用阻塞异步路由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高并发下事件循环被阻塞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同步端点改为 def，异步端点隔离同步 ORM</w:t>
            </w:r>
          </w:p>
        </w:tc>
      </w:tr>
      <w:tr>
        <w:trPr>
          <w:cantSplit/>
        </w:trPr>
        <w:tc>
          <w:tcPr>
            <w:tcW w:type="dxa" w:w="792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H2</w:t>
            </w:r>
          </w:p>
        </w:tc>
        <w:tc>
          <w:tcPr>
            <w:tcW w:type="dxa" w:w="309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工作台与学习模块写路径重复</w:t>
            </w:r>
          </w:p>
        </w:tc>
        <w:tc>
          <w:tcPr>
            <w:tcW w:type="dxa" w:w="3240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状态与关联规则可被不同接口绕过</w:t>
            </w:r>
          </w:p>
        </w:tc>
        <w:tc>
          <w:tcPr>
            <w:tcW w:type="dxa" w:w="2880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统一写服务并规划兼容下线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H3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MySQL 命名锁连接生命周期不稳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锁可能残留在连接池连接上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固定单连接完成获取、提交与释放</w:t>
            </w:r>
          </w:p>
        </w:tc>
      </w:tr>
      <w:tr>
        <w:trPr>
          <w:cantSplit/>
        </w:trPr>
        <w:tc>
          <w:tcPr>
            <w:tcW w:type="dxa" w:w="792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H4</w:t>
            </w:r>
          </w:p>
        </w:tc>
        <w:tc>
          <w:tcPr>
            <w:tcW w:type="dxa" w:w="309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注册与滑块验证码限流不完整</w:t>
            </w:r>
          </w:p>
        </w:tc>
        <w:tc>
          <w:tcPr>
            <w:tcW w:type="dxa" w:w="3240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CPU 放大与容量耗尽风险</w:t>
            </w:r>
          </w:p>
        </w:tc>
        <w:tc>
          <w:tcPr>
            <w:tcW w:type="dxa" w:w="2880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复用现有限流器覆盖所有入口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同步调用阻塞异步路由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审查发现  </w:t>
      </w:r>
      <w:r>
        <w:rPr>
          <w:rFonts w:ascii="Calibri" w:hAnsi="Calibri" w:eastAsia="Microsoft YaHei"/>
          <w:sz w:val="20"/>
        </w:rPr>
        <w:t>项目使用同步 SQLAlchemy Session 和 PyMySQL 引擎，但大量 FastAPI 路由声明为 async def。审查统计到 96 个异步路由处理器，仅 6 处显式 await；至少 69 个处理器在当前实现中仅执行同步调用，认证路径还会直接运行 Argon2 口令计算。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影响判断  </w:t>
      </w:r>
      <w:r>
        <w:rPr>
          <w:rFonts w:ascii="Calibri" w:hAnsi="Calibri" w:eastAsia="Microsoft YaHei"/>
          <w:sz w:val="20"/>
        </w:rPr>
        <w:t>同步数据库和 CPU 密集型计算会占用事件循环线程。单元测试可以通过，但并发请求时可能出现吞吐下降、尾延迟升高和请求相互阻塞。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整改建议  </w:t>
      </w:r>
      <w:r>
        <w:rPr>
          <w:rFonts w:ascii="Calibri" w:hAnsi="Calibri" w:eastAsia="Microsoft YaHei"/>
          <w:sz w:val="20"/>
        </w:rPr>
        <w:t>优先将纯同步端点改为普通 def，由 FastAPI 在线程池执行。确需 await 的 AI HTTP 路由保留异步，并通过线程池隔离同步 ORM。整体迁移到异步数据库栈属于架构变更，应另行评估并经确认后实施。</w:t>
      </w:r>
    </w:p>
    <w:p>
      <w:pPr>
        <w:keepLines/>
        <w:spacing w:after="60" w:line="240" w:lineRule="auto"/>
        <w:ind w:left="230"/>
      </w:pPr>
      <w:r>
        <w:rPr>
          <w:rFonts w:ascii="Calibri" w:hAnsi="Calibri" w:eastAsia="Microsoft YaHei"/>
          <w:b/>
          <w:color w:val="595959"/>
          <w:sz w:val="16"/>
        </w:rPr>
        <w:t xml:space="preserve">代码证据  </w:t>
      </w:r>
      <w:r>
        <w:rPr>
          <w:rFonts w:ascii="Consolas" w:hAnsi="Consolas" w:eastAsia="Microsoft YaHei"/>
          <w:color w:val="595959"/>
          <w:sz w:val="15"/>
        </w:rPr>
        <w:t>backend/app/core/database.py:21</w:t>
      </w:r>
      <w:r>
        <w:rPr>
          <w:rFonts w:ascii="Consolas" w:hAnsi="Consolas" w:eastAsia="Microsoft YaHei"/>
          <w:color w:val="595959"/>
          <w:sz w:val="15"/>
        </w:rPr>
        <w:t xml:space="preserve"> · backend/app/api/deps.py:69</w:t>
      </w:r>
      <w:r>
        <w:rPr>
          <w:rFonts w:ascii="Consolas" w:hAnsi="Consolas" w:eastAsia="Microsoft YaHei"/>
          <w:color w:val="595959"/>
          <w:sz w:val="15"/>
        </w:rPr>
        <w:t xml:space="preserve"> · backend/app/api/v1/learning.py:43</w:t>
      </w:r>
      <w:r>
        <w:rPr>
          <w:rFonts w:ascii="Consolas" w:hAnsi="Consolas" w:eastAsia="Microsoft YaHei"/>
          <w:color w:val="595959"/>
          <w:sz w:val="15"/>
        </w:rPr>
        <w:t xml:space="preserve"> · backend/app/services/auth.py:33</w:t>
      </w:r>
    </w:p>
    <w:p>
      <w:pPr>
        <w:pStyle w:val="Heading2"/>
        <w:keepNext/>
      </w:pPr>
      <w:r>
        <w:t>工作台与学习模块写路径重复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审查发现  </w:t>
      </w:r>
      <w:r>
        <w:rPr>
          <w:rFonts w:ascii="Calibri" w:hAnsi="Calibri" w:eastAsia="Microsoft YaHei"/>
          <w:sz w:val="20"/>
        </w:rPr>
        <w:t>工作台和学习模块分别实现任务与学习记录写入。工作台完成任务接口可将非 completed 状态直接置为 completed，因此 cancelled 可被重新完成；学习模块则通过 TASK_TRANSITIONS 拒绝终态迁移。工作台记录模型只包含 project_id，却允许 project、course、task 等全部 RecordType，前端表单也只提供项目关联；学习模块会按类型强制要求对应关联字段。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影响判断  </w:t>
      </w:r>
      <w:r>
        <w:rPr>
          <w:rFonts w:ascii="Calibri" w:hAnsi="Calibri" w:eastAsia="Microsoft YaHei"/>
          <w:sz w:val="20"/>
        </w:rPr>
        <w:t>同一领域规则由两套入口维护，已出现状态机和关联完整性差异。调用方可因选择不同接口而得到不同结果，后续修复也容易只覆盖其中一条路径。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整改建议  </w:t>
      </w:r>
      <w:r>
        <w:rPr>
          <w:rFonts w:ascii="Calibri" w:hAnsi="Calibri" w:eastAsia="Microsoft YaHei"/>
          <w:sz w:val="20"/>
        </w:rPr>
        <w:t>将 Workspace 收敛为只读聚合，所有任务和记录变更委托给 LearningService。若公共接口需要下线，应先核对调用方、制定兼容周期并取得变更授权。</w:t>
      </w:r>
    </w:p>
    <w:p>
      <w:pPr>
        <w:keepLines/>
        <w:spacing w:after="60" w:line="240" w:lineRule="auto"/>
        <w:ind w:left="230"/>
      </w:pPr>
      <w:r>
        <w:rPr>
          <w:rFonts w:ascii="Calibri" w:hAnsi="Calibri" w:eastAsia="Microsoft YaHei"/>
          <w:b/>
          <w:color w:val="595959"/>
          <w:sz w:val="16"/>
        </w:rPr>
        <w:t xml:space="preserve">代码证据  </w:t>
      </w:r>
      <w:r>
        <w:rPr>
          <w:rFonts w:ascii="Consolas" w:hAnsi="Consolas" w:eastAsia="Microsoft YaHei"/>
          <w:color w:val="595959"/>
          <w:sz w:val="15"/>
        </w:rPr>
        <w:t>backend/app/services/workspace.py:235</w:t>
      </w:r>
      <w:r>
        <w:rPr>
          <w:rFonts w:ascii="Consolas" w:hAnsi="Consolas" w:eastAsia="Microsoft YaHei"/>
          <w:color w:val="595959"/>
          <w:sz w:val="15"/>
        </w:rPr>
        <w:t xml:space="preserve"> · backend/app/services/learning.py:318</w:t>
      </w:r>
      <w:r>
        <w:rPr>
          <w:rFonts w:ascii="Consolas" w:hAnsi="Consolas" w:eastAsia="Microsoft YaHei"/>
          <w:color w:val="595959"/>
          <w:sz w:val="15"/>
        </w:rPr>
        <w:t xml:space="preserve"> · backend/app/schemas/workspace.py:81</w:t>
      </w:r>
      <w:r>
        <w:rPr>
          <w:rFonts w:ascii="Consolas" w:hAnsi="Consolas" w:eastAsia="Microsoft YaHei"/>
          <w:color w:val="595959"/>
          <w:sz w:val="15"/>
        </w:rPr>
        <w:t xml:space="preserve"> · frontend/src/components/LearningRecordForm.vue:68</w:t>
      </w:r>
      <w:r>
        <w:rPr>
          <w:rFonts w:ascii="Consolas" w:hAnsi="Consolas" w:eastAsia="Microsoft YaHei"/>
          <w:color w:val="595959"/>
          <w:sz w:val="15"/>
        </w:rPr>
        <w:t xml:space="preserve"> · backend/app/services/learning.py:442</w:t>
      </w:r>
    </w:p>
    <w:p>
      <w:pPr>
        <w:pStyle w:val="Heading2"/>
        <w:keepNext/>
      </w:pPr>
      <w:r>
        <w:t>MySQL 命名锁连接生命周期不稳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审查发现  </w:t>
      </w:r>
      <w:r>
        <w:rPr>
          <w:rFonts w:ascii="Calibri" w:hAnsi="Calibri" w:eastAsia="Microsoft YaHei"/>
          <w:sz w:val="20"/>
        </w:rPr>
        <w:t>CampusRepository.transaction 在会话中调用 GET_LOCK，随后执行 Session.commit，最后再调用 RELEASE_LOCK。SQLAlchemy 提交后可以将物理连接归还连接池，释放锁语句不保证仍在获取锁的同一连接上执行。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影响判断  </w:t>
      </w:r>
      <w:r>
        <w:rPr>
          <w:rFonts w:ascii="Calibri" w:hAnsi="Calibri" w:eastAsia="Microsoft YaHei"/>
          <w:sz w:val="20"/>
        </w:rPr>
        <w:t>MySQL 命名锁与连接绑定。如果释放发生在另一连接，原锁可能残留于池中，其他事务会超时，且问题具有并发相关和间歇性，难以通过普通单元测试复现。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整改建议  </w:t>
      </w:r>
      <w:r>
        <w:rPr>
          <w:rFonts w:ascii="Calibri" w:hAnsi="Calibri" w:eastAsia="Microsoft YaHei"/>
          <w:sz w:val="20"/>
        </w:rPr>
        <w:t>显式固定一个 Connection，在同一连接上完成获取锁、事务提交或回滚、释放锁，再归还连接；也可基于数据模型评估行级锁替代方案。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验证边界  </w:t>
      </w:r>
      <w:r>
        <w:rPr>
          <w:rFonts w:ascii="Calibri" w:hAnsi="Calibri" w:eastAsia="Microsoft YaHei"/>
          <w:sz w:val="20"/>
        </w:rPr>
        <w:t>该结论来自连接与命名锁语义的静态推断。本轮未执行真实 MySQL 并发竞争实验，整改后应增加双连接竞争测试。</w:t>
      </w:r>
    </w:p>
    <w:p>
      <w:pPr>
        <w:keepLines/>
        <w:spacing w:after="60" w:line="240" w:lineRule="auto"/>
        <w:ind w:left="230"/>
      </w:pPr>
      <w:r>
        <w:rPr>
          <w:rFonts w:ascii="Calibri" w:hAnsi="Calibri" w:eastAsia="Microsoft YaHei"/>
          <w:b/>
          <w:color w:val="595959"/>
          <w:sz w:val="16"/>
        </w:rPr>
        <w:t xml:space="preserve">代码证据  </w:t>
      </w:r>
      <w:r>
        <w:rPr>
          <w:rFonts w:ascii="Consolas" w:hAnsi="Consolas" w:eastAsia="Microsoft YaHei"/>
          <w:color w:val="595959"/>
          <w:sz w:val="15"/>
        </w:rPr>
        <w:t>backend/app/repositories/campus.py:26</w:t>
      </w:r>
    </w:p>
    <w:p>
      <w:pPr>
        <w:pStyle w:val="Heading2"/>
        <w:keepNext/>
      </w:pPr>
      <w:r>
        <w:t>注册与滑块验证码限流不完整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审查发现  </w:t>
      </w:r>
      <w:r>
        <w:rPr>
          <w:rFonts w:ascii="Calibri" w:hAnsi="Calibri" w:eastAsia="Microsoft YaHei"/>
          <w:sz w:val="20"/>
        </w:rPr>
        <w:t>注册路由只在邀请注册分支调用限流器，普通注册未限流，且唯一性校验后会执行 Argon2。滑块 challenge 和 verify 端点没有按客户端限流，服务只保留最多 2048 条、有效期 120 秒的内存记录。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影响判断  </w:t>
      </w:r>
      <w:r>
        <w:rPr>
          <w:rFonts w:ascii="Calibri" w:hAnsi="Calibri" w:eastAsia="Microsoft YaHei"/>
          <w:sz w:val="20"/>
        </w:rPr>
        <w:t>攻击者可重复触发口令哈希造成 CPU 放大，也可快速占满验证码容量，使正常登录请求无法获得有效挑战。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整改建议  </w:t>
      </w:r>
      <w:r>
        <w:rPr>
          <w:rFonts w:ascii="Calibri" w:hAnsi="Calibri" w:eastAsia="Microsoft YaHei"/>
          <w:sz w:val="20"/>
        </w:rPr>
        <w:t>复用现有 SensitiveActionLimiter，覆盖普通注册、邀请注册、challenge 和 verify；限流键应结合客户端地址、账号标识与操作类型，并为容量淘汰和恢复路径补充测试。</w:t>
      </w:r>
    </w:p>
    <w:p>
      <w:pPr>
        <w:keepLines/>
        <w:spacing w:after="60" w:line="240" w:lineRule="auto"/>
        <w:ind w:left="230"/>
      </w:pPr>
      <w:r>
        <w:rPr>
          <w:rFonts w:ascii="Calibri" w:hAnsi="Calibri" w:eastAsia="Microsoft YaHei"/>
          <w:b/>
          <w:color w:val="595959"/>
          <w:sz w:val="16"/>
        </w:rPr>
        <w:t xml:space="preserve">代码证据  </w:t>
      </w:r>
      <w:r>
        <w:rPr>
          <w:rFonts w:ascii="Consolas" w:hAnsi="Consolas" w:eastAsia="Microsoft YaHei"/>
          <w:color w:val="595959"/>
          <w:sz w:val="15"/>
        </w:rPr>
        <w:t>backend/app/api/v1/auth.py:27</w:t>
      </w:r>
      <w:r>
        <w:rPr>
          <w:rFonts w:ascii="Consolas" w:hAnsi="Consolas" w:eastAsia="Microsoft YaHei"/>
          <w:color w:val="595959"/>
          <w:sz w:val="15"/>
        </w:rPr>
        <w:t xml:space="preserve"> · backend/app/api/v1/auth.py:54</w:t>
      </w:r>
      <w:r>
        <w:rPr>
          <w:rFonts w:ascii="Consolas" w:hAnsi="Consolas" w:eastAsia="Microsoft YaHei"/>
          <w:color w:val="595959"/>
          <w:sz w:val="15"/>
        </w:rPr>
        <w:t xml:space="preserve"> · backend/app/services/auth.py:33</w:t>
      </w:r>
      <w:r>
        <w:rPr>
          <w:rFonts w:ascii="Consolas" w:hAnsi="Consolas" w:eastAsia="Microsoft YaHei"/>
          <w:color w:val="595959"/>
          <w:sz w:val="15"/>
        </w:rPr>
        <w:t xml:space="preserve"> · backend/app/services/slider_captcha.py:50</w:t>
      </w:r>
    </w:p>
    <w:p>
      <w:r>
        <w:br w:type="page"/>
      </w:r>
    </w:p>
    <w:p>
      <w:pPr>
        <w:pStyle w:val="Heading1"/>
      </w:pPr>
      <w:r>
        <w:t>中优先级问题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92"/>
        <w:gridCol w:w="3672"/>
        <w:gridCol w:w="5688"/>
      </w:tblGrid>
      <w:tr>
        <w:trPr>
          <w:tblHeader w:val="true"/>
          <w:cantSplit/>
        </w:trPr>
        <w:tc>
          <w:tcPr>
            <w:tcW w:type="dxa" w:w="792"/>
            <w:shd w:fill="BF7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672"/>
            <w:shd w:fill="BF7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5688"/>
            <w:shd w:fill="BF7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判断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M1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工作流状态所有权与界面能力漂移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客户端可提交执行态，界面又无法正常切换 READY</w:t>
            </w:r>
          </w:p>
        </w:tc>
      </w:tr>
      <w:tr>
        <w:trPr>
          <w:cantSplit/>
        </w:trPr>
        <w:tc>
          <w:tcPr>
            <w:tcW w:type="dxa" w:w="792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M2</w:t>
            </w:r>
          </w:p>
        </w:tc>
        <w:tc>
          <w:tcPr>
            <w:tcW w:type="dxa" w:w="3672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工作流工具栏样式选择器冲突</w:t>
            </w:r>
          </w:p>
        </w:tc>
        <w:tc>
          <w:tcPr>
            <w:tcW w:type="dxa" w:w="5688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懒加载样式覆盖全局 grid，响应式规则失效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M3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教学节点切换后保留旧配置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problem 与 student_code 可能被意外持久化</w:t>
            </w:r>
          </w:p>
        </w:tc>
      </w:tr>
      <w:tr>
        <w:trPr>
          <w:cantSplit/>
        </w:trPr>
        <w:tc>
          <w:tcPr>
            <w:tcW w:type="dxa" w:w="792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M4</w:t>
            </w:r>
          </w:p>
        </w:tc>
        <w:tc>
          <w:tcPr>
            <w:tcW w:type="dxa" w:w="3672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工具栏保存状态未覆盖 configDirty</w:t>
            </w:r>
          </w:p>
        </w:tc>
        <w:tc>
          <w:tcPr>
            <w:tcW w:type="dxa" w:w="5688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界面可能在有未保存配置时显示已保存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M5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分析页面构建分块超阈值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AnalyticsView 分块 571.90 kB，存在加载压力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工作流状态所有权与界面能力漂移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审查发现  </w:t>
      </w:r>
      <w:r>
        <w:rPr>
          <w:rFonts w:ascii="Calibri" w:hAnsi="Calibri" w:eastAsia="Microsoft YaHei"/>
          <w:sz w:val="20"/>
        </w:rPr>
        <w:t>WorkflowUpdate.status 接受完整 WorkflowStatus，服务仅对 READY 且空节点进行特殊校验；执行仓储又会自行写入 RUNNING、COMPLETED、FAILED 和 STALE。客户端因此可以提交本应由服务端执行过程拥有的状态。另一方面，工具栏已经移除状态下拉框，只显示文本，新的 draft 工作流在正常界面中无法进入 READY，遗留的 update:status 事件也没有调用方。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影响判断  </w:t>
      </w:r>
      <w:r>
        <w:rPr>
          <w:rFonts w:ascii="Calibri" w:hAnsi="Calibri" w:eastAsia="Microsoft YaHei"/>
          <w:sz w:val="20"/>
        </w:rPr>
        <w:t>状态所有权不清会导致伪造执行态、状态机失真和界面能力退化。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整改建议  </w:t>
      </w:r>
      <w:r>
        <w:rPr>
          <w:rFonts w:ascii="Calibri" w:hAnsi="Calibri" w:eastAsia="Microsoft YaHei"/>
          <w:sz w:val="20"/>
        </w:rPr>
        <w:t>明确用户态与执行态边界。更新接口只接受 DRAFT 与 READY 的受控迁移，执行态仅由执行服务写入；若 READY 已无产品价值，则在确认公共契约影响后整体移除。</w:t>
      </w:r>
    </w:p>
    <w:p>
      <w:pPr>
        <w:keepLines/>
        <w:spacing w:after="60" w:line="240" w:lineRule="auto"/>
        <w:ind w:left="230"/>
      </w:pPr>
      <w:r>
        <w:rPr>
          <w:rFonts w:ascii="Calibri" w:hAnsi="Calibri" w:eastAsia="Microsoft YaHei"/>
          <w:b/>
          <w:color w:val="595959"/>
          <w:sz w:val="16"/>
        </w:rPr>
        <w:t xml:space="preserve">代码证据  </w:t>
      </w:r>
      <w:r>
        <w:rPr>
          <w:rFonts w:ascii="Consolas" w:hAnsi="Consolas" w:eastAsia="Microsoft YaHei"/>
          <w:color w:val="595959"/>
          <w:sz w:val="15"/>
        </w:rPr>
        <w:t>backend/app/schemas/workflow.py:73</w:t>
      </w:r>
      <w:r>
        <w:rPr>
          <w:rFonts w:ascii="Consolas" w:hAnsi="Consolas" w:eastAsia="Microsoft YaHei"/>
          <w:color w:val="595959"/>
          <w:sz w:val="15"/>
        </w:rPr>
        <w:t xml:space="preserve"> · backend/app/services/workflow.py:347</w:t>
      </w:r>
      <w:r>
        <w:rPr>
          <w:rFonts w:ascii="Consolas" w:hAnsi="Consolas" w:eastAsia="Microsoft YaHei"/>
          <w:color w:val="595959"/>
          <w:sz w:val="15"/>
        </w:rPr>
        <w:t xml:space="preserve"> · backend/app/repositories/workflow_execution.py:103</w:t>
      </w:r>
      <w:r>
        <w:rPr>
          <w:rFonts w:ascii="Consolas" w:hAnsi="Consolas" w:eastAsia="Microsoft YaHei"/>
          <w:color w:val="595959"/>
          <w:sz w:val="15"/>
        </w:rPr>
        <w:t xml:space="preserve"> · frontend/src/components/WorkflowToolbar.vue:16</w:t>
      </w:r>
    </w:p>
    <w:p>
      <w:pPr>
        <w:pStyle w:val="Heading2"/>
        <w:keepNext/>
      </w:pPr>
      <w:r>
        <w:t>工作流工具栏样式选择器冲突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审查发现  </w:t>
      </w:r>
      <w:r>
        <w:rPr>
          <w:rFonts w:ascii="Calibri" w:hAnsi="Calibri" w:eastAsia="Microsoft YaHei"/>
          <w:sz w:val="20"/>
        </w:rPr>
        <w:t>main.css 将 .workflow-toolbar 定义为 grid，并配置了对应响应式 grid 规则；懒加载的 workflow-execution.css 又把同一选择器改为 flex。加载顺序会覆盖布局模型，原有 grid-template 媒体查询随之失效。样式中还保留针对已不存在 select 元素的选择器。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影响判断  </w:t>
      </w:r>
      <w:r>
        <w:rPr>
          <w:rFonts w:ascii="Calibri" w:hAnsi="Calibri" w:eastAsia="Microsoft YaHei"/>
          <w:sz w:val="20"/>
        </w:rPr>
        <w:t>布局随页面访问顺序或样式加载顺序变化，响应式表现不可预测，旧选择器也增加维护噪声。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整改建议  </w:t>
      </w:r>
      <w:r>
        <w:rPr>
          <w:rFonts w:ascii="Calibri" w:hAnsi="Calibri" w:eastAsia="Microsoft YaHei"/>
          <w:sz w:val="20"/>
        </w:rPr>
        <w:t>只保留一处工具栏根布局定义，把页面专属差异下沉到命名更具体的修饰类，并删除失效的 status select 规则。</w:t>
      </w:r>
    </w:p>
    <w:p>
      <w:pPr>
        <w:keepLines/>
        <w:spacing w:after="60" w:line="240" w:lineRule="auto"/>
        <w:ind w:left="230"/>
      </w:pPr>
      <w:r>
        <w:rPr>
          <w:rFonts w:ascii="Calibri" w:hAnsi="Calibri" w:eastAsia="Microsoft YaHei"/>
          <w:b/>
          <w:color w:val="595959"/>
          <w:sz w:val="16"/>
        </w:rPr>
        <w:t xml:space="preserve">代码证据  </w:t>
      </w:r>
      <w:r>
        <w:rPr>
          <w:rFonts w:ascii="Consolas" w:hAnsi="Consolas" w:eastAsia="Microsoft YaHei"/>
          <w:color w:val="595959"/>
          <w:sz w:val="15"/>
        </w:rPr>
        <w:t>frontend/src/styles/main.css:1124</w:t>
      </w:r>
      <w:r>
        <w:rPr>
          <w:rFonts w:ascii="Consolas" w:hAnsi="Consolas" w:eastAsia="Microsoft YaHei"/>
          <w:color w:val="595959"/>
          <w:sz w:val="15"/>
        </w:rPr>
        <w:t xml:space="preserve"> · frontend/src/styles/workflow-execution.css:2</w:t>
      </w:r>
      <w:r>
        <w:rPr>
          <w:rFonts w:ascii="Consolas" w:hAnsi="Consolas" w:eastAsia="Microsoft YaHei"/>
          <w:color w:val="595959"/>
          <w:sz w:val="15"/>
        </w:rPr>
        <w:t xml:space="preserve"> · frontend/src/components/WorkflowToolbar.vue:16</w:t>
      </w:r>
    </w:p>
    <w:p>
      <w:pPr>
        <w:pStyle w:val="Heading2"/>
        <w:keepNext/>
      </w:pPr>
      <w:r>
        <w:t>教学节点切换后保留旧配置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审查发现  </w:t>
      </w:r>
      <w:r>
        <w:rPr>
          <w:rFonts w:ascii="Calibri" w:hAnsi="Calibri" w:eastAsia="Microsoft YaHei"/>
          <w:sz w:val="20"/>
        </w:rPr>
        <w:t>WorkflowNodeConfigPanel 保存配置时先展开旧 config，仅在 teaching 类型下补写 problem 和 student_code。节点从 teaching 切换到其他类型后，这两个字段不会被移除；后端 schema 接受任意 JSON，配置可继续进入持久化和执行上下文。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影响判断  </w:t>
      </w:r>
      <w:r>
        <w:rPr>
          <w:rFonts w:ascii="Calibri" w:hAnsi="Calibri" w:eastAsia="Microsoft YaHei"/>
          <w:sz w:val="20"/>
        </w:rPr>
        <w:t>学生代码等不再需要的内容会被意外保留，既造成脏数据，也扩大私有学习内容的留存范围。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整改建议  </w:t>
      </w:r>
      <w:r>
        <w:rPr>
          <w:rFonts w:ascii="Calibri" w:hAnsi="Calibri" w:eastAsia="Microsoft YaHei"/>
          <w:sz w:val="20"/>
        </w:rPr>
        <w:t>按节点类型从允许字段白名单重新构造 config，不展开旧对象；增加 teaching 切换到非 teaching 后字段消失的前后端回归测试。</w:t>
      </w:r>
    </w:p>
    <w:p>
      <w:pPr>
        <w:keepLines/>
        <w:spacing w:after="60" w:line="240" w:lineRule="auto"/>
        <w:ind w:left="230"/>
      </w:pPr>
      <w:r>
        <w:rPr>
          <w:rFonts w:ascii="Calibri" w:hAnsi="Calibri" w:eastAsia="Microsoft YaHei"/>
          <w:b/>
          <w:color w:val="595959"/>
          <w:sz w:val="16"/>
        </w:rPr>
        <w:t xml:space="preserve">代码证据  </w:t>
      </w:r>
      <w:r>
        <w:rPr>
          <w:rFonts w:ascii="Consolas" w:hAnsi="Consolas" w:eastAsia="Microsoft YaHei"/>
          <w:color w:val="595959"/>
          <w:sz w:val="15"/>
        </w:rPr>
        <w:t>frontend/src/components/WorkflowNodeConfigPanel.vue:55</w:t>
      </w:r>
    </w:p>
    <w:p>
      <w:pPr>
        <w:pStyle w:val="Heading2"/>
        <w:keepNext/>
      </w:pPr>
      <w:r>
        <w:t>工具栏保存状态覆盖不完整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审查发现  </w:t>
      </w:r>
      <w:r>
        <w:rPr>
          <w:rFonts w:ascii="Calibri" w:hAnsi="Calibri" w:eastAsia="Microsoft YaHei"/>
          <w:sz w:val="20"/>
        </w:rPr>
        <w:t>工具栏显示逻辑主要依赖工作流 dirty 状态，节点配置面板另有 configDirty。配置已修改但尚未提交时，工具栏仍可能显示已保存。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影响判断  </w:t>
      </w:r>
      <w:r>
        <w:rPr>
          <w:rFonts w:ascii="Calibri" w:hAnsi="Calibri" w:eastAsia="Microsoft YaHei"/>
          <w:sz w:val="20"/>
        </w:rPr>
        <w:t>用户可能误判变更已经持久化并离开页面，形成可避免的数据丢失体验。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整改建议  </w:t>
      </w:r>
      <w:r>
        <w:rPr>
          <w:rFonts w:ascii="Calibri" w:hAnsi="Calibri" w:eastAsia="Microsoft YaHei"/>
          <w:sz w:val="20"/>
        </w:rPr>
        <w:t>将工作流结构和配置面板的脏状态汇总为统一保存状态，并在离开页面前复用同一判断。</w:t>
      </w:r>
    </w:p>
    <w:p>
      <w:pPr>
        <w:keepLines/>
        <w:spacing w:after="60" w:line="240" w:lineRule="auto"/>
        <w:ind w:left="230"/>
      </w:pPr>
      <w:r>
        <w:rPr>
          <w:rFonts w:ascii="Calibri" w:hAnsi="Calibri" w:eastAsia="Microsoft YaHei"/>
          <w:b/>
          <w:color w:val="595959"/>
          <w:sz w:val="16"/>
        </w:rPr>
        <w:t xml:space="preserve">代码证据  </w:t>
      </w:r>
      <w:r>
        <w:rPr>
          <w:rFonts w:ascii="Consolas" w:hAnsi="Consolas" w:eastAsia="Microsoft YaHei"/>
          <w:color w:val="595959"/>
          <w:sz w:val="15"/>
        </w:rPr>
        <w:t>frontend/src/components/WorkflowToolbar.vue</w:t>
      </w:r>
      <w:r>
        <w:rPr>
          <w:rFonts w:ascii="Consolas" w:hAnsi="Consolas" w:eastAsia="Microsoft YaHei"/>
          <w:color w:val="595959"/>
          <w:sz w:val="15"/>
        </w:rPr>
        <w:t xml:space="preserve"> · frontend/src/components/WorkflowNodeConfigPanel.vue</w:t>
      </w:r>
    </w:p>
    <w:p>
      <w:pPr>
        <w:pStyle w:val="Heading2"/>
        <w:keepNext/>
      </w:pPr>
      <w:r>
        <w:t>分析页面构建分块超阈值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审查发现  </w:t>
      </w:r>
      <w:r>
        <w:rPr>
          <w:rFonts w:ascii="Calibri" w:hAnsi="Calibri" w:eastAsia="Microsoft YaHei"/>
          <w:sz w:val="20"/>
        </w:rPr>
        <w:t>生产构建成功，但 Vite 报告 AnalyticsView 相关分块为 571.90 kB，超过默认 500 kB 提示阈值。当前代码已使用路由懒加载和 ECharts 按需导入。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影响判断  </w:t>
      </w:r>
      <w:r>
        <w:rPr>
          <w:rFonts w:ascii="Calibri" w:hAnsi="Calibri" w:eastAsia="Microsoft YaHei"/>
          <w:sz w:val="20"/>
        </w:rPr>
        <w:t>不构成功能阻断，但首次进入分析页时可能增加下载、解析和执行延迟，低性能终端更明显。</w:t>
      </w:r>
    </w:p>
    <w:p>
      <w:pPr>
        <w:keepLines/>
        <w:spacing w:after="60"/>
      </w:pPr>
      <w:r>
        <w:rPr>
          <w:rFonts w:ascii="Calibri" w:hAnsi="Calibri" w:eastAsia="Microsoft YaHei"/>
          <w:b/>
          <w:color w:val="1F4E79"/>
          <w:sz w:val="20"/>
        </w:rPr>
        <w:t xml:space="preserve">整改建议  </w:t>
      </w:r>
      <w:r>
        <w:rPr>
          <w:rFonts w:ascii="Calibri" w:hAnsi="Calibri" w:eastAsia="Microsoft YaHei"/>
          <w:sz w:val="20"/>
        </w:rPr>
        <w:t>先采集真实网络与设备性能数据，再决定是否拆分图表模块或延迟加载次要图表；不建议只提高预警阈值掩盖问题。</w:t>
      </w:r>
    </w:p>
    <w:p>
      <w:pPr>
        <w:keepLines/>
        <w:spacing w:after="60" w:line="240" w:lineRule="auto"/>
        <w:ind w:left="230"/>
      </w:pPr>
      <w:r>
        <w:rPr>
          <w:rFonts w:ascii="Calibri" w:hAnsi="Calibri" w:eastAsia="Microsoft YaHei"/>
          <w:b/>
          <w:color w:val="595959"/>
          <w:sz w:val="16"/>
        </w:rPr>
        <w:t xml:space="preserve">代码证据  </w:t>
      </w:r>
      <w:r>
        <w:rPr>
          <w:rFonts w:ascii="Consolas" w:hAnsi="Consolas" w:eastAsia="Microsoft YaHei"/>
          <w:color w:val="595959"/>
          <w:sz w:val="15"/>
        </w:rPr>
        <w:t>frontend/src/views/AnalyticsView.vue</w:t>
      </w:r>
      <w:r>
        <w:rPr>
          <w:rFonts w:ascii="Consolas" w:hAnsi="Consolas" w:eastAsia="Microsoft YaHei"/>
          <w:color w:val="595959"/>
          <w:sz w:val="15"/>
        </w:rPr>
        <w:t xml:space="preserve"> · frontend/vite.config.ts</w:t>
      </w:r>
    </w:p>
    <w:p>
      <w:r>
        <w:br w:type="page"/>
      </w:r>
    </w:p>
    <w:p>
      <w:pPr>
        <w:pStyle w:val="Heading1"/>
      </w:pPr>
      <w:r>
        <w:t>冗余代码和规范问题</w:t>
      </w:r>
    </w:p>
    <w:p>
      <w:pPr>
        <w:pStyle w:val="Heading2"/>
      </w:pPr>
      <w:r>
        <w:t>已确认不可达前端代码</w:t>
      </w:r>
    </w:p>
    <w:p>
      <w:r>
        <w:rPr>
          <w:rFonts w:ascii="Calibri" w:hAnsi="Calibri" w:eastAsia="Microsoft YaHei"/>
        </w:rPr>
        <w:t>从前端路由与模块入口进行导入可达性检查后，以下链路未被当前运行入口引用。后端健康检查接口仍有独立价值，不应因前端链路不可达而一并删除。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536"/>
        <w:gridCol w:w="3024"/>
        <w:gridCol w:w="2376"/>
      </w:tblGrid>
      <w:tr>
        <w:trPr>
          <w:tblHeader w:val="true"/>
          <w:cantSplit/>
        </w:trPr>
        <w:tc>
          <w:tcPr>
            <w:tcW w:type="dxa" w:w="453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02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237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frontend/src/views/HomeView.vue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根路由使用 DashboardView，无其他导入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确认无外部入口后删除</w:t>
            </w:r>
          </w:p>
        </w:tc>
      </w:tr>
      <w:tr>
        <w:trPr>
          <w:cantSplit/>
        </w:trPr>
        <w:tc>
          <w:tcPr>
            <w:tcW w:type="dxa" w:w="453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frontend/src/stores/health.ts</w:t>
            </w:r>
          </w:p>
        </w:tc>
        <w:tc>
          <w:tcPr>
            <w:tcW w:type="dxa" w:w="3024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只服务于不可达 HomeView</w:t>
            </w:r>
          </w:p>
        </w:tc>
        <w:tc>
          <w:tcPr>
            <w:tcW w:type="dxa" w:w="237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随链路一并删除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frontend/src/api/health.ts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只服务于不可达 health store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随链路一并删除</w:t>
            </w:r>
          </w:p>
        </w:tc>
      </w:tr>
      <w:tr>
        <w:trPr>
          <w:cantSplit/>
        </w:trPr>
        <w:tc>
          <w:tcPr>
            <w:tcW w:type="dxa" w:w="453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frontend/src/types/health.ts</w:t>
            </w:r>
          </w:p>
        </w:tc>
        <w:tc>
          <w:tcPr>
            <w:tcW w:type="dxa" w:w="3024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只服务于不可达 health API</w:t>
            </w:r>
          </w:p>
        </w:tc>
        <w:tc>
          <w:tcPr>
            <w:tcW w:type="dxa" w:w="237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随链路一并删除</w:t>
            </w:r>
          </w:p>
        </w:tc>
      </w:tr>
    </w:tbl>
    <w:p>
      <w:pPr>
        <w:spacing w:after="0"/>
      </w:pPr>
    </w:p>
    <w:p>
      <w:pPr>
        <w:pStyle w:val="Heading2"/>
      </w:pPr>
      <w:r>
        <w:t>明确的未使用符号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536"/>
        <w:gridCol w:w="3384"/>
        <w:gridCol w:w="2016"/>
      </w:tblGrid>
      <w:tr>
        <w:trPr>
          <w:tblHeader w:val="true"/>
          <w:cantSplit/>
        </w:trPr>
        <w:tc>
          <w:tcPr>
            <w:tcW w:type="dxa" w:w="453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338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01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backend/app/api/v1/auth.py:151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return 后残留 ChangePasswordRequest 表达式，不可达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直接删除</w:t>
            </w:r>
          </w:p>
        </w:tc>
      </w:tr>
      <w:tr>
        <w:trPr>
          <w:cantSplit/>
        </w:trPr>
        <w:tc>
          <w:tcPr>
            <w:tcW w:type="dxa" w:w="453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backend/app/agents/base.py:6</w:t>
            </w:r>
          </w:p>
        </w:tc>
        <w:tc>
          <w:tcPr>
            <w:tcW w:type="dxa" w:w="3384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BaseModel 导入未使用</w:t>
            </w:r>
          </w:p>
        </w:tc>
        <w:tc>
          <w:tcPr>
            <w:tcW w:type="dxa" w:w="201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直接删除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backend/app/repositories/campus.py:15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InvitationStatus 导入未使用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直接删除</w:t>
            </w:r>
          </w:p>
        </w:tc>
      </w:tr>
      <w:tr>
        <w:trPr>
          <w:cantSplit/>
        </w:trPr>
        <w:tc>
          <w:tcPr>
            <w:tcW w:type="dxa" w:w="453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backend/tests/test_learning.py:24</w:t>
            </w:r>
          </w:p>
        </w:tc>
        <w:tc>
          <w:tcPr>
            <w:tcW w:type="dxa" w:w="3384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CourseRepository 测试导入未使用</w:t>
            </w:r>
          </w:p>
        </w:tc>
        <w:tc>
          <w:tcPr>
            <w:tcW w:type="dxa" w:w="201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直接删除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frontend/src/components/WorkflowToolbar.vue:18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update:status 事件无调用方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结合状态方案删除或恢复使用</w:t>
            </w:r>
          </w:p>
        </w:tc>
      </w:tr>
    </w:tbl>
    <w:p>
      <w:pPr>
        <w:spacing w:after="0"/>
      </w:pPr>
    </w:p>
    <w:p>
      <w:pPr>
        <w:pStyle w:val="Heading2"/>
      </w:pPr>
      <w:r>
        <w:t>重复与相似实现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44"/>
        <w:gridCol w:w="4464"/>
        <w:gridCol w:w="3528"/>
      </w:tblGrid>
      <w:tr>
        <w:trPr>
          <w:tblHeader w:val="true"/>
          <w:cantSplit/>
        </w:trPr>
        <w:tc>
          <w:tcPr>
            <w:tcW w:type="dxa" w:w="194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46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重复表现</w:t>
            </w:r>
          </w:p>
        </w:tc>
        <w:tc>
          <w:tcPr>
            <w:tcW w:type="dxa" w:w="352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收敛建议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任务表单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LearningTaskEditor 与 TaskForm 重复校验和字段交互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抽取共享 schema 与表单字段层</w:t>
            </w:r>
          </w:p>
        </w:tc>
      </w:tr>
      <w:tr>
        <w:trPr>
          <w:cantSplit/>
        </w:trPr>
        <w:tc>
          <w:tcPr>
            <w:tcW w:type="dxa" w:w="1944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学习记录表单</w:t>
            </w:r>
          </w:p>
        </w:tc>
        <w:tc>
          <w:tcPr>
            <w:tcW w:type="dxa" w:w="4464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LearningRecordEditor 与 LearningRecordForm 重复类型和关联逻辑</w:t>
            </w:r>
          </w:p>
        </w:tc>
        <w:tc>
          <w:tcPr>
            <w:tcW w:type="dxa" w:w="3528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保留单一写表单或抽取 composable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JsonValue 类型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project.ts 与 workflow.ts 分别定义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移动到共享 types 模块</w:t>
            </w:r>
          </w:p>
        </w:tc>
      </w:tr>
      <w:tr>
        <w:trPr>
          <w:cantSplit/>
        </w:trPr>
        <w:tc>
          <w:tcPr>
            <w:tcW w:type="dxa" w:w="1944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邮箱规则</w:t>
            </w:r>
          </w:p>
        </w:tc>
        <w:tc>
          <w:tcPr>
            <w:tcW w:type="dxa" w:w="4464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auth.py 与 campus.py 重复正则和规范化</w:t>
            </w:r>
          </w:p>
        </w:tc>
        <w:tc>
          <w:tcPr>
            <w:tcW w:type="dxa" w:w="3528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建立共享校验函数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Agent 结果构造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workflow/agents.py 三个 build_result 基本一致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把默认实现下沉到 BaseAgent</w:t>
            </w:r>
          </w:p>
        </w:tc>
      </w:tr>
      <w:tr>
        <w:trPr>
          <w:cantSplit/>
        </w:trPr>
        <w:tc>
          <w:tcPr>
            <w:tcW w:type="dxa" w:w="1944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JSON 与 schema 解析</w:t>
            </w:r>
          </w:p>
        </w:tc>
        <w:tc>
          <w:tcPr>
            <w:tcW w:type="dxa" w:w="4464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agents/base.py 与 learning_report.py 机制相似</w:t>
            </w:r>
          </w:p>
        </w:tc>
        <w:tc>
          <w:tcPr>
            <w:tcW w:type="dxa" w:w="3528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只抽取纯解析工具，避免强行继承</w:t>
            </w:r>
          </w:p>
        </w:tc>
      </w:tr>
    </w:tbl>
    <w:p>
      <w:pPr>
        <w:spacing w:after="0"/>
      </w:pPr>
    </w:p>
    <w:p>
      <w:pPr>
        <w:pStyle w:val="Heading2"/>
      </w:pPr>
      <w:r>
        <w:t>可维护性热点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536"/>
        <w:gridCol w:w="2880"/>
        <w:gridCol w:w="2520"/>
      </w:tblGrid>
      <w:tr>
        <w:trPr>
          <w:tblHeader w:val="true"/>
          <w:cantSplit/>
        </w:trPr>
        <w:tc>
          <w:tcPr>
            <w:tcW w:type="dxa" w:w="453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88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规模或现象</w:t>
            </w:r>
          </w:p>
        </w:tc>
        <w:tc>
          <w:tcPr>
            <w:tcW w:type="dxa" w:w="252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风险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frontend/src/styles/main.css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1,557 行；112 行超过 120 字符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全局样式耦合，选择器冲突难定位</w:t>
            </w:r>
          </w:p>
        </w:tc>
      </w:tr>
      <w:tr>
        <w:trPr>
          <w:cantSplit/>
        </w:trPr>
        <w:tc>
          <w:tcPr>
            <w:tcW w:type="dxa" w:w="453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backend/app/services/workflow.py</w:t>
            </w:r>
          </w:p>
        </w:tc>
        <w:tc>
          <w:tcPr>
            <w:tcW w:type="dxa" w:w="2880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774 行</w:t>
            </w:r>
          </w:p>
        </w:tc>
        <w:tc>
          <w:tcPr>
            <w:tcW w:type="dxa" w:w="2520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状态、执行、验证职责集中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backend/app/workflow/engine.py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724 行；run 约 337 行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控制流过长，异常分支难覆盖</w:t>
            </w:r>
          </w:p>
        </w:tc>
      </w:tr>
      <w:tr>
        <w:trPr>
          <w:cantSplit/>
        </w:trPr>
        <w:tc>
          <w:tcPr>
            <w:tcW w:type="dxa" w:w="453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backend/app/api/presenters.py</w:t>
            </w:r>
          </w:p>
        </w:tc>
        <w:tc>
          <w:tcPr>
            <w:tcW w:type="dxa" w:w="2880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674 行</w:t>
            </w:r>
          </w:p>
        </w:tc>
        <w:tc>
          <w:tcPr>
            <w:tcW w:type="dxa" w:w="2520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响应装配持续膨胀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backend/app/services/campus.py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22 行超过 100 字符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复杂表达式降低复核效率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文件长度本身不是缺陷，拆分必须围绕稳定职责边界进行。建议先用针对性测试固定行为，再拆分状态机、执行编排、响应装配或样式区域，避免为追求行数而制造抽象。</w:t>
      </w:r>
    </w:p>
    <w:p>
      <w:pPr>
        <w:pStyle w:val="Heading2"/>
      </w:pPr>
      <w:r>
        <w:t>质量门禁缺口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0"/>
        </w:rPr>
        <w:t>后端未配置 Ruff、Mypy、Pyflakes、Vulture 或 Bandit，本轮环境中这些工具也不可用。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0"/>
        </w:rPr>
        <w:t>frontend/package.json 仅提供 dev、build 和 typecheck，没有标准 lint 与 test 入口。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0"/>
        </w:rPr>
        <w:t>浏览器验证脚本存在，但未接入统一 package script 或持续集成门禁。</w:t>
      </w:r>
    </w:p>
    <w:p>
      <w:r>
        <w:rPr>
          <w:rFonts w:ascii="Calibri" w:hAnsi="Calibri" w:eastAsia="Microsoft YaHei"/>
        </w:rPr>
        <w:t>新增依赖或改变构建、测试与安全策略会影响团队工作流，应先确认工具组合和最低阻断规则。短期可先为本报告中的业务风险增加回归测试，再单独引入静态检查门禁。</w:t>
      </w:r>
    </w:p>
    <w:p>
      <w:r>
        <w:br w:type="page"/>
      </w:r>
    </w:p>
    <w:p>
      <w:pPr>
        <w:pStyle w:val="Heading1"/>
      </w:pPr>
      <w:r>
        <w:t>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00"/>
        <w:gridCol w:w="3888"/>
        <w:gridCol w:w="1080"/>
        <w:gridCol w:w="3168"/>
      </w:tblGrid>
      <w:tr>
        <w:trPr>
          <w:tblHeader w:val="true"/>
          <w:cantSplit/>
        </w:trPr>
        <w:tc>
          <w:tcPr>
            <w:tcW w:type="dxa" w:w="180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388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执行方式</w:t>
            </w:r>
          </w:p>
        </w:tc>
        <w:tc>
          <w:tcPr>
            <w:tcW w:type="dxa" w:w="108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16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后端单元测试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.venv/Scripts/python.exe -m unittest discover -s tests -v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通过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Ran 167 tests in 4.191s，OK</w:t>
            </w:r>
          </w:p>
        </w:tc>
      </w:tr>
      <w:tr>
        <w:trPr>
          <w:cantSplit/>
        </w:trPr>
        <w:tc>
          <w:tcPr>
            <w:tcW w:type="dxa" w:w="1800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前端类型检查</w:t>
            </w:r>
          </w:p>
        </w:tc>
        <w:tc>
          <w:tcPr>
            <w:tcW w:type="dxa" w:w="3888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pnpm typecheck</w:t>
            </w:r>
          </w:p>
        </w:tc>
        <w:tc>
          <w:tcPr>
            <w:tcW w:type="dxa" w:w="1080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通过</w:t>
            </w:r>
          </w:p>
        </w:tc>
        <w:tc>
          <w:tcPr>
            <w:tcW w:type="dxa" w:w="3168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无类型错误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前端生产构建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pnpm build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通过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AnalyticsView 分块 571.90 kB 预警</w:t>
            </w:r>
          </w:p>
        </w:tc>
      </w:tr>
      <w:tr>
        <w:trPr>
          <w:cantSplit/>
        </w:trPr>
        <w:tc>
          <w:tcPr>
            <w:tcW w:type="dxa" w:w="1800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OpenAPI 契约</w:t>
            </w:r>
          </w:p>
        </w:tc>
        <w:tc>
          <w:tcPr>
            <w:tcW w:type="dxa" w:w="3888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应用 schema 枚举</w:t>
            </w:r>
          </w:p>
        </w:tc>
        <w:tc>
          <w:tcPr>
            <w:tcW w:type="dxa" w:w="1080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通过</w:t>
            </w:r>
          </w:p>
        </w:tc>
        <w:tc>
          <w:tcPr>
            <w:tcW w:type="dxa" w:w="3168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68 paths，102 operations，170 schemas，无重复 operationId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差异空白检查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git diff --check 及 staged 检查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通过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仅出现 LF 转 CRLF 提示</w:t>
            </w:r>
          </w:p>
        </w:tc>
      </w:tr>
      <w:tr>
        <w:trPr>
          <w:cantSplit/>
        </w:trPr>
        <w:tc>
          <w:tcPr>
            <w:tcW w:type="dxa" w:w="1800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尾随空白</w:t>
            </w:r>
          </w:p>
        </w:tc>
        <w:tc>
          <w:tcPr>
            <w:tcW w:type="dxa" w:w="3888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代码文件模式扫描</w:t>
            </w:r>
          </w:p>
        </w:tc>
        <w:tc>
          <w:tcPr>
            <w:tcW w:type="dxa" w:w="1080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通过</w:t>
            </w:r>
          </w:p>
        </w:tc>
        <w:tc>
          <w:tcPr>
            <w:tcW w:type="dxa" w:w="3168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未发现尾随空白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敏感模式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源码模式扫描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未发现明显命中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未发现硬编码密钥、v-html、eval 或动态执行；不等同于安全证明</w:t>
            </w:r>
          </w:p>
        </w:tc>
      </w:tr>
      <w:tr>
        <w:trPr>
          <w:cantSplit/>
        </w:trPr>
        <w:tc>
          <w:tcPr>
            <w:tcW w:type="dxa" w:w="1800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静态分析工具</w:t>
            </w:r>
          </w:p>
        </w:tc>
        <w:tc>
          <w:tcPr>
            <w:tcW w:type="dxa" w:w="3888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Ruff、Mypy、Pyflakes、Vulture、Bandit</w:t>
            </w:r>
          </w:p>
        </w:tc>
        <w:tc>
          <w:tcPr>
            <w:tcW w:type="dxa" w:w="1080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未执行</w:t>
            </w:r>
          </w:p>
        </w:tc>
        <w:tc>
          <w:tcPr>
            <w:tcW w:type="dxa" w:w="3168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项目未配置且当前环境不可用，未自行安装</w:t>
            </w:r>
          </w:p>
        </w:tc>
      </w:tr>
    </w:tbl>
    <w:p>
      <w:pPr>
        <w:spacing w:after="0"/>
      </w:pPr>
    </w:p>
    <w:p>
      <w:pPr>
        <w:pStyle w:val="Heading2"/>
      </w:pPr>
      <w:r>
        <w:t>验证覆盖边界</w:t>
      </w:r>
    </w:p>
    <w:p>
      <w:r>
        <w:rPr>
          <w:rFonts w:ascii="Calibri" w:hAnsi="Calibri" w:eastAsia="Microsoft YaHei"/>
        </w:rPr>
        <w:t>现有测试和构建结果只能证明已覆盖场景未回归，不能排除并发与资源生命周期问题。高优先级整改完成后，应至少新增以下回归验证。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0"/>
        </w:rPr>
        <w:t>异步路由并发压测或事件循环阻塞检测，覆盖同步 ORM 与 Argon2 路径。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0"/>
        </w:rPr>
        <w:t>Cancelled 任务不可通过任一路径直接完成，记录类型必须匹配关联实体。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0"/>
        </w:rPr>
        <w:t>两个数据库连接竞争同一校园变更锁，提交、回滚和异常后均能可靠释放。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0"/>
        </w:rPr>
        <w:t>普通注册、邀请注册、滑块 challenge 和 verify 均触发限流，容量达到上限后可恢复。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0"/>
        </w:rPr>
        <w:t>工作流执行态不可由更新接口伪造，教学节点切换后私有配置字段被移除。</w:t>
      </w:r>
    </w:p>
    <w:p>
      <w:pPr>
        <w:pStyle w:val="Heading1"/>
      </w:pPr>
      <w:r>
        <w:t>整改顺序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296"/>
        <w:gridCol w:w="2088"/>
        <w:gridCol w:w="4536"/>
        <w:gridCol w:w="2016"/>
      </w:tblGrid>
      <w:tr>
        <w:trPr>
          <w:tblHeader w:val="true"/>
          <w:cantSplit/>
        </w:trPr>
        <w:tc>
          <w:tcPr>
            <w:tcW w:type="dxa" w:w="129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08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53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201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第一阶段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守住业务与安全边界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统一任务和记录写规则；补齐注册与验证码限流；修正命名锁连接生命周期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新增定向测试与真实 MySQL 双连接验证</w:t>
            </w:r>
          </w:p>
        </w:tc>
      </w:tr>
      <w:tr>
        <w:trPr>
          <w:cantSplit/>
        </w:trPr>
        <w:tc>
          <w:tcPr>
            <w:tcW w:type="dxa" w:w="129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第二阶段</w:t>
            </w:r>
          </w:p>
        </w:tc>
        <w:tc>
          <w:tcPr>
            <w:tcW w:type="dxa" w:w="2088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明确运行边界</w:t>
            </w:r>
          </w:p>
        </w:tc>
        <w:tc>
          <w:tcPr>
            <w:tcW w:type="dxa" w:w="453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修正 async 与同步 ORM 边界；收敛工作流状态所有权；统一工具栏样式与保存状态</w:t>
            </w:r>
          </w:p>
        </w:tc>
        <w:tc>
          <w:tcPr>
            <w:tcW w:type="dxa" w:w="201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并发验证、状态迁移测试、响应式页面检查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第三阶段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降低维护成本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删除不可达链路和未使用符号；收敛重复表单、校验、类型和结果构造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构建、类型检查、单元测试及差异复核</w:t>
            </w:r>
          </w:p>
        </w:tc>
      </w:tr>
      <w:tr>
        <w:trPr>
          <w:cantSplit/>
        </w:trPr>
        <w:tc>
          <w:tcPr>
            <w:tcW w:type="dxa" w:w="129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第四阶段</w:t>
            </w:r>
          </w:p>
        </w:tc>
        <w:tc>
          <w:tcPr>
            <w:tcW w:type="dxa" w:w="2088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建立持续门禁</w:t>
            </w:r>
          </w:p>
        </w:tc>
        <w:tc>
          <w:tcPr>
            <w:tcW w:type="dxa" w:w="453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评估 Ruff、ESLint 和前端测试入口，接入统一脚本或 CI</w:t>
            </w:r>
          </w:p>
        </w:tc>
        <w:tc>
          <w:tcPr>
            <w:tcW w:type="dxa" w:w="2016"/>
            <w:shd w:fill="EE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团队确认规则后，门禁稳定通过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涉及公共 API 下线、异步数据库栈迁移、新增依赖或修改构建与测试策略的事项，不应在清理任务中顺带实施。应先说明事实、兼容影响和可选方案，再取得明确确认。</w:t>
      </w:r>
    </w:p>
    <w:p>
      <w:pPr>
        <w:pStyle w:val="Heading1"/>
      </w:pPr>
      <w:r>
        <w:t>结论</w:t>
      </w:r>
    </w:p>
    <w:p>
      <w:r>
        <w:rPr>
          <w:rFonts w:ascii="Calibri" w:hAnsi="Calibri" w:eastAsia="Microsoft YaHei"/>
        </w:rPr>
        <w:t>ScholarHub 当前版本具备较好的基础可运行性，测试、类型检查、构建和 OpenAPI 结构均保持通过；问题主要集中在测试之外的语义一致性、并发边界和维护规范。建议先完成四项高优先级整改及对应回归验证，再处理工作流状态、样式冲突和配置残留，最后进行死代码与重复实现清理。按此顺序可优先降低真实运行风险，同时避免大规模重构干扰现有功能。</w:t>
      </w:r>
    </w:p>
    <w:sectPr w:rsidR="00FC693F" w:rsidRPr="0006063C" w:rsidSect="00034616">
      <w:footerReference w:type="default" r:id="rId9"/>
      <w:pgSz w:w="12240" w:h="15840"/>
      <w:pgMar w:top="1037" w:right="1094" w:bottom="950" w:left="1094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95959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95959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312" w:lineRule="auto"/>
    </w:pPr>
    <w:rPr>
      <w:rFonts w:ascii="Calibri" w:hAnsi="Calibri" w:eastAsia="Microsoft YaHe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ScholarHub 代码全量审查报告</dc:title>
  <dc:subject>编写规范与冗余代码专项审查</dc:subject>
  <dc:creator>ScholarHub 项目组</dc:creator>
  <cp:keywords>ScholarHub, 代码审查, 规范, 冗余代码, 风险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