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ScholarHub S00 现状扫描与核心业务数据基线</w:t>
      </w:r>
    </w:p>
    <w:p>
      <w:pPr>
        <w:pStyle w:val="Subtitle"/>
        <w:widowControl/>
      </w:pPr>
      <w:r>
        <w:t xml:space="preserve">V2 20261021修订  依据V2-S01-r2  已交付 优先核验复用</w:t>
      </w:r>
    </w:p>
    <w:p>
      <w:pPr>
        <w:widowControl/>
      </w:pPr>
      <w:r>
        <w:t xml:space="preserve">用法  先读任务交接与20261021计划书，再发送“只执行本阶段，保护已有修改，更新交接后停止”。本包修订不等于阶段实施或新增授权。</w:t>
      </w:r>
    </w:p>
    <w:p>
      <w:pPr>
        <w:widowControl/>
      </w:pPr>
      <w:r>
        <w:t xml:space="preserve">20261021修订：S00–S05已交付；S06工程与实验完成、J1待评；S07–S10未实施，S11默认跳过。以最新交接和源码为准，已具备能力核验复用。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>一 当前任务与前置条件</w:t>
      </w:r>
    </w:p>
    <w:p>
      <w:pPr>
        <w:widowControl/>
      </w:pPr>
      <w:r>
        <w:t xml:space="preserve">请只执行S00范围的现状核验。本阶段已有报告，不重新初始化、重做全项目扫描或重跑后续实验。只核实当前指令所需的Git、核心来源与已有证据；业务代码保持只读，更新准确基线和交接后停止。</w:t>
      </w:r>
    </w:p>
    <w:p>
      <w:pPr>
        <w:widowControl/>
      </w:pPr>
      <w:r>
        <w:t>直接前置阶段：无。前置条件：无。若执行过旧版S阶段，先按V2总纲映射已有产物，核对并复用，不能以编号相同推断内容相同。</w:t>
      </w:r>
    </w:p>
    <w:p>
      <w:pPr>
        <w:pStyle w:val="Heading2"/>
      </w:pPr>
      <w:r>
        <w:rPr>
          <w:color w:val="000000"/>
        </w:rPr>
        <w:t>二 共同执行约束</w:t>
      </w:r>
    </w:p>
    <w:p>
      <w:pPr>
        <w:widowControl/>
        <w:ind w:left="198" w:hanging="198"/>
      </w:pPr>
      <w:r>
        <w:t xml:space="preserve">1  根目录为C:\Users\Administrator\Desktop\毕业设计\ScholarHub。先读开发相关文档/任务交接.md及开发相关文档/开发规划/20261021-大数据主线最小改动与AI实践衔接计划书.md，核对本阶段报告、当前Git和用户最新指令。每次只执行一个阶段，保护既有未提交工作；无源码访问先列缺少材料，不从S00重新初始化。</w:t>
      </w:r>
    </w:p>
    <w:p>
      <w:pPr>
        <w:widowControl/>
        <w:ind w:left="198" w:hanging="198"/>
      </w:pPr>
      <w:r>
        <w:t xml:space="preserve">2  遵守AGENTS.md、stop-that-shit和frontend-backend-code-standards；沿用现有Vue/TypeScript、FastAPI/SQLAlchemy/MySQL、Provider及界面设计，复用分析链。状态/字段/评分以已批准V2-S01-r2为准，不重建平台。</w:t>
      </w:r>
    </w:p>
    <w:p>
      <w:pPr>
        <w:widowControl/>
        <w:ind w:left="198" w:hanging="198"/>
      </w:pPr>
      <w:r>
        <w:t>3  新增依赖、公共API、持久化/迁移、兼容性与检查策略先给具体影响和方案，再按真实授权实施；S01已批准的同一范围不重复审批，新增范围不得自批。写库须确认本轮专用隔离目标及当前状态，不退回业务库或清空既有数据。</w:t>
      </w:r>
    </w:p>
    <w:p>
      <w:pPr>
        <w:widowControl/>
        <w:ind w:left="198" w:hanging="198"/>
      </w:pPr>
      <w:r>
        <w:t>4  真实收费模型先有模型、输入范围及调用/费用上限授权；安装、凭证和账户变更同样遵循明确授权。禁止输出.env、密钥、Token、密码或原始私人正文；Fake/Mock不代表真实模型质量。</w:t>
      </w:r>
    </w:p>
    <w:p>
      <w:pPr>
        <w:widowControl/>
        <w:ind w:left="198" w:hanging="198"/>
      </w:pPr>
      <w:r>
        <w:t>5  遵循Router→Service→Repository→Model，服务端核对身份、归属和版本。等待模型或学生不持数据库锁；学生代码仅静态评审。自测声明、输出值核对、AI建议和教师确认分别记录；普通图表GET不触发Spark或模型。</w:t>
      </w:r>
    </w:p>
    <w:p>
      <w:pPr>
        <w:widowControl/>
        <w:ind w:left="198" w:hanging="198"/>
      </w:pPr>
      <w:r>
        <w:t>6  运行与本阶段相关的既有检查，前端按项目命令做类型/构建，后端使用已确认backend/.venv和unittest入口。数据、API、MySQL、Mock、Spark、模型质量和清理证据分别报告，历史成绩不写成本轮通过。</w:t>
      </w:r>
    </w:p>
    <w:p>
      <w:pPr>
        <w:widowControl/>
        <w:ind w:left="198" w:hanging="198"/>
      </w:pPr>
      <w:r>
        <w:t xml:space="preserve">7  中文日志沿用开发相关文档/开发日志/开发操作日志.md，报告放开发相关文档/阶段报告/AI大数据改造/V2。阶段结束、关键阻塞、换AI或准备压缩前先更新开发相关文档/任务交接.md：任务卡、已改文件、实际命令/证据、授权与消耗、缺口、恢复点和下一步。不得只留聊天纪要；不自动提交、推送、发布或开始下一阶段。</w:t>
      </w:r>
    </w:p>
    <w:p>
      <w:pPr>
        <w:pStyle w:val="Heading2"/>
      </w:pPr>
      <w:r>
        <w:rPr>
          <w:color w:val="000000"/>
        </w:rPr>
        <w:t>三 必须读取的输入</w:t>
      </w:r>
    </w:p>
    <w:p>
      <w:pPr>
        <w:widowControl/>
        <w:ind w:left="198" w:hanging="198"/>
      </w:pPr>
      <w:r>
        <w:t>1  根目录AGENTS.md、README、backend/README.md、frontend/package.json、backend/requirements.txt、当前Git分支与差异。</w:t>
      </w:r>
    </w:p>
    <w:p>
      <w:pPr>
        <w:widowControl/>
        <w:ind w:left="198" w:hanging="198"/>
      </w:pPr>
      <w:r>
        <w:t>2  backend/app/models中的learning、submission、ai、workflow；对应API、Service、Repository及现有统计和learning_report实现。</w:t>
      </w:r>
    </w:p>
    <w:p>
      <w:pPr>
        <w:widowControl/>
        <w:ind w:left="198" w:hanging="198"/>
      </w:pPr>
      <w:r>
        <w:t>3  当前两个AI页面、AnalyticsView、WorkflowExecutionPanel与WorkflowNodeResultContent；CR9及20261018节点结果模块化报告。</w:t>
      </w:r>
    </w:p>
    <w:p>
      <w:pPr>
        <w:widowControl/>
        <w:ind w:left="198" w:hanging="198"/>
      </w:pPr>
      <w:r>
        <w:t>4  20261016大数据新版方案和20261017 WSL改造指南。历史报告是线索，不代表本轮已经验证。</w:t>
      </w:r>
    </w:p>
    <w:p>
      <w:pPr>
        <w:pStyle w:val="Heading2"/>
      </w:pPr>
      <w:r>
        <w:rPr>
          <w:color w:val="000000"/>
        </w:rPr>
        <w:t>四 本阶段实施步骤</w:t>
      </w:r>
    </w:p>
    <w:p>
      <w:pPr>
        <w:widowControl/>
        <w:ind w:left="198" w:hanging="198"/>
      </w:pPr>
      <w:r>
        <w:t xml:space="preserve">1  核实当前路径、HEAD及既有差异。20261021参考基线main/2faa8a2加未提交S06，旧9320d68只是历史；记录本阶段保护范围，不回退或覆盖任何已有工作。</w:t>
      </w:r>
    </w:p>
    <w:p>
      <w:pPr>
        <w:widowControl/>
        <w:ind w:left="198" w:hanging="198"/>
      </w:pPr>
      <w:r>
        <w:t>2  沿项目→任务→提交V1→教师退回→提交V2→教师通过→关联学习记录读取真实调用链，标出已落地、待复核与缺失能力。这里只核查目标数据主线，不把社区、所有课程或新AI页面完善作为前置。</w:t>
      </w:r>
    </w:p>
    <w:p>
      <w:pPr>
        <w:widowControl/>
        <w:ind w:left="198" w:hanging="198"/>
      </w:pPr>
      <w:r>
        <w:t>3  列出可用数据源、主键/外键、发生时间、状态时间和可修改字段。特别核对学习记录无updated_at、时长可为空、Feedback与学习记录的真实关联、提交材料不等于不可变代码快照。</w:t>
      </w:r>
    </w:p>
    <w:p>
      <w:pPr>
        <w:widowControl/>
        <w:ind w:left="198" w:hanging="198"/>
      </w:pPr>
      <w:r>
        <w:t>4  区分平台概况、个人报告和拟新增分析。个人报告已有事实数字保护，旧WorkflowRun没有人工等待语义；核实Spark作业、批次表/API和新实践会话是否真实存在，已实现则验证复用。</w:t>
      </w:r>
    </w:p>
    <w:p>
      <w:pPr>
        <w:widowControl/>
        <w:ind w:left="198" w:hanging="198"/>
      </w:pPr>
      <w:r>
        <w:t>5  只读确认Python/JDK/PySpark/WSL及当前虚拟环境版本和可执行路径，不安装或改配置。确认检查命令和是否已有可复核快照；不读取或输出凭证与私人正文。</w:t>
      </w:r>
    </w:p>
    <w:p>
      <w:pPr>
        <w:widowControl/>
        <w:ind w:left="198" w:hanging="198"/>
      </w:pPr>
      <w:r>
        <w:t>6  运行已有且与所选主线相关的低成本测试；前端存在相关修改时按既有命令核对类型/构建。真实库写入、真实模型和Spark规模作业本阶段均不执行，不重新开展全仓库整改。</w:t>
      </w:r>
    </w:p>
    <w:p>
      <w:pPr>
        <w:widowControl/>
        <w:ind w:left="198" w:hanging="198"/>
      </w:pPr>
      <w:r>
        <w:t>7  输出数据可用性矩阵与阻塞分类：影响归属、状态、关联和抽取正确性的缺陷交S02；视觉、外围功能和未请求扩展不阻塞Spark；缺乏真实长期样本作为实验来源限制记录。</w:t>
      </w:r>
    </w:p>
    <w:p>
      <w:pPr>
        <w:pStyle w:val="Heading2"/>
      </w:pPr>
      <w:r>
        <w:rPr>
          <w:color w:val="000000"/>
        </w:rPr>
        <w:t>五 验收标准与证据</w:t>
      </w:r>
    </w:p>
    <w:p>
      <w:pPr>
        <w:widowControl/>
        <w:ind w:left="198" w:hanging="198"/>
      </w:pPr>
      <w:r>
        <w:t>1  有当前源码定位的能力矩阵、既有差异保护清单、数据源字段清单与所选核心业务路径。</w:t>
      </w:r>
    </w:p>
    <w:p>
      <w:pPr>
        <w:widowControl/>
        <w:ind w:left="198" w:hanging="198"/>
      </w:pPr>
      <w:r>
        <w:t>2  明确Spark第一版只依赖已有数据，不依赖S07至S11；资料不足能指出具体字段或来源缺口。</w:t>
      </w:r>
    </w:p>
    <w:p>
      <w:pPr>
        <w:widowControl/>
        <w:ind w:left="198" w:hanging="198"/>
      </w:pPr>
      <w:r>
        <w:t>3  执行检查含命令、退出码与边界；历史271项等成绩不写成本轮通过。</w:t>
      </w:r>
    </w:p>
    <w:p>
      <w:pPr>
        <w:widowControl/>
        <w:ind w:left="198" w:hanging="198"/>
      </w:pPr>
      <w:r>
        <w:t>4  业务源码、数据库、配置和依赖相对开始基线没有本阶段新增差异。</w:t>
      </w:r>
    </w:p>
    <w:p>
      <w:pPr>
        <w:widowControl/>
      </w:pPr>
      <w:r>
        <w:t>阶段门槛：核心数据来源和当前状态无法核实则交付缺口清单；不以完成全业务或新AI工作台作为继续S01的条件。</w:t>
      </w:r>
    </w:p>
    <w:p>
      <w:pPr>
        <w:pStyle w:val="Heading2"/>
      </w:pPr>
      <w:r>
        <w:rPr>
          <w:color w:val="000000"/>
        </w:rPr>
        <w:t>六 明确不做的内容</w:t>
      </w:r>
    </w:p>
    <w:p>
      <w:pPr>
        <w:widowControl/>
        <w:ind w:left="198" w:hanging="198"/>
      </w:pPr>
      <w:r>
        <w:t>1  不修旧CR/R/L阶段、不批量改页面、不建新会话或事件表。</w:t>
      </w:r>
    </w:p>
    <w:p>
      <w:pPr>
        <w:widowControl/>
        <w:ind w:left="198" w:hanging="198"/>
      </w:pPr>
      <w:r>
        <w:t>2  不创建或清空数据库、不调用付费模型、不安装环境或伪造历史数据。</w:t>
      </w:r>
    </w:p>
    <w:p>
      <w:pPr>
        <w:pStyle w:val="Heading2"/>
      </w:pPr>
      <w:r>
        <w:rPr>
          <w:color w:val="000000"/>
        </w:rPr>
        <w:t>七 交付与交接</w:t>
      </w:r>
    </w:p>
    <w:p>
      <w:pPr>
        <w:widowControl/>
        <w:ind w:left="198" w:hanging="198"/>
      </w:pPr>
      <w:r>
        <w:t>1  S00-完成报告.md：当前基线、保护清单、核心路径、源字段、数据阻塞与验证边界。</w:t>
      </w:r>
    </w:p>
    <w:p>
      <w:pPr>
        <w:widowControl/>
        <w:ind w:left="198" w:hanging="198"/>
      </w:pPr>
      <w:r>
        <w:t>2  交S01的分析问题候选、数据可用性和需决定的契约项；已完成旧阶段的映射证据。</w:t>
      </w:r>
    </w:p>
    <w:p>
      <w:pPr>
        <w:pStyle w:val="Heading2"/>
      </w:pPr>
      <w:r>
        <w:rPr>
          <w:color w:val="000000"/>
        </w:rPr>
        <w:t>八 停止条件与回复格式</w:t>
      </w:r>
    </w:p>
    <w:p>
      <w:pPr>
        <w:widowControl/>
        <w:ind w:left="198" w:hanging="198"/>
      </w:pPr>
      <w:r>
        <w:t>1  完成本阶段验收后停止，下一阶段只交接。若已有能力符合验收就验证复用，不重复开发；发现外围问题只记录，不扩大范围。</w:t>
      </w:r>
    </w:p>
    <w:p>
      <w:pPr>
        <w:widowControl/>
        <w:ind w:left="198" w:hanging="198"/>
      </w:pPr>
      <w:r>
        <w:t>2  前置证据、必要授权、环境或质量门槛缺失时，交付已完成材料与准确阻塞。分别标通过、失败、未运行、待确认和未选择，不把工程通过或文档完成写成模型有效或整包完成。</w:t>
      </w:r>
    </w:p>
    <w:p>
      <w:pPr>
        <w:widowControl/>
        <w:ind w:left="198" w:hanging="198"/>
      </w:pPr>
      <w:r>
        <w:t>3  回复依次包含阶段与状态、基线保护、实际修改、契约及授权依据、检查与原始结果、证据路径、未完成影响、清理恢复、下一阶段输入。</w:t>
      </w:r>
    </w:p>
    <w:p>
      <w:pPr>
        <w:widowControl/>
      </w:pPr>
      <w:r>
        <w:t>报告建议路径：开发相关文档/阶段报告/AI大数据改造/V2/S00-完成报告.md。没有用户下一阶段指令，不执行下一阶段。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S00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S00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