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S01 毕设范围数据指标与评价契约</w:t>
      </w:r>
    </w:p>
    <w:p>
      <w:pPr>
        <w:pStyle w:val="Subtitle"/>
        <w:widowControl/>
      </w:pPr>
      <w:r>
        <w:t xml:space="preserve">V2 20261021修订  依据V2-S01-r2  已交付 优先核验复用</w:t>
      </w:r>
    </w:p>
    <w:p>
      <w:pPr>
        <w:widowControl/>
      </w:pPr>
      <w:r>
        <w:t xml:space="preserve">用法  先读任务交接与20261021计划书，再发送“只执行本阶段，保护已有修改，更新交接后停止”。本包修订不等于阶段实施或新增授权。</w:t>
      </w:r>
    </w:p>
    <w:p>
      <w:pPr>
        <w:widowControl/>
      </w:pPr>
      <w:r>
        <w:t xml:space="preserve">20261021修订：S00–S05已交付；S06工程与实验完成、J1待评；S07–S10未实施，S11默认跳过。以最新交接和源码为准，已具备能力核验复用。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 xml:space="preserve">请只执行S01契约核验。V2-S01-r2及A/B设计已有批准，先复核确认记录与当前差异；同范围不重新设计、改阈值或重复索取设计批准。仅在用户明确要求契约变更时列差异与影响，未批准部分不实施。</w:t>
      </w:r>
    </w:p>
    <w:p>
      <w:pPr>
        <w:widowControl/>
      </w:pPr>
      <w:r>
        <w:t>直接前置阶段：S00。前置条件：S00已通过或有同等当前基线。学校任务书已有明确要求时对照列出；没有提供的算法、集群或数据量要求标待核实，不自行冒充校方规定。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 xml:space="preserve">1  根目录为C:\Users\Administrator\Desktop\毕业设计\ScholarHub。先读开发相关文档/任务交接.md及开发相关文档/开发规划/20261021-大数据主线最小改动与AI实践衔接计划书.md，核对本阶段报告、当前Git和用户最新指令。每次只执行一个阶段，保护既有未提交工作；无源码访问先列缺少材料，不从S00重新初始化。</w:t>
      </w:r>
    </w:p>
    <w:p>
      <w:pPr>
        <w:widowControl/>
        <w:ind w:left="198" w:hanging="198"/>
      </w:pPr>
      <w:r>
        <w:t xml:space="preserve">2  遵守AGENTS.md、stop-that-shit和frontend-backend-code-standards；沿用现有Vue/TypeScript、FastAPI/SQLAlchemy/MySQL、Provider及界面设计，复用分析链。状态/字段/评分以已批准V2-S01-r2为准，不重建平台。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 xml:space="preserve">7  中文日志沿用开发相关文档/开发日志/开发操作日志.md，报告放开发相关文档/阶段报告/AI大数据改造/V2。阶段结束、关键阻塞、换AI或准备压缩前先更新开发相关文档/任务交接.md：任务卡、已改文件、实际命令/证据、授权与消耗、缺口、恢复点和下一步。不得只留聊天纪要；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S00报告、V2总纲、当前学习/提交/反馈/AI请求/Context模型与API、锁顺序和迁移组织方式。</w:t>
      </w:r>
    </w:p>
    <w:p>
      <w:pPr>
        <w:widowControl/>
        <w:ind w:left="198" w:hanging="198"/>
      </w:pPr>
      <w:r>
        <w:t>2  现有统计与个人学习报告的事实保护、数据字段、日期口径和权限；已有Spark环境说明与实验材料。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 xml:space="preserve">1  核对既定范围：S00–S06独立大数据核心，S07–S10最小AI联合；S11默认跳过，S12/S13优先实验与论文。用户、问题、分析单位及停止线沿用批准契约。</w:t>
      </w:r>
    </w:p>
    <w:p>
      <w:pPr>
        <w:widowControl/>
        <w:ind w:left="198" w:hanging="198"/>
      </w:pPr>
      <w:r>
        <w:t xml:space="preserve">2  沿用同群组提交修订/教师确认专题；分钟/活跃日为背景，任务兑现/逾期为过程，保留固定窗口、分母和独立答案。当前状态快照不能还原历史日终状态。</w:t>
      </w:r>
    </w:p>
    <w:p>
      <w:pPr>
        <w:widowControl/>
        <w:ind w:left="198" w:hanging="198"/>
      </w:pPr>
      <w:r>
        <w:t xml:space="preserve">3  复核10表源白名单、主外键/类型/nullable及质量规则。保持完整窗口一致性快照、可信ACCEPT来源、NULL/0、199/200、取消分母、无样本及UTC/DATE语义，不临时改口径。</w:t>
      </w:r>
    </w:p>
    <w:p>
      <w:pPr>
        <w:widowControl/>
        <w:ind w:left="198" w:hanging="198"/>
      </w:pPr>
      <w:r>
        <w:t xml:space="preserve">4  保持快照→ODS→DWD→ADS→受控发布→本人GET→图表；核对batch/owner/cutoff/版本/dataset_kind和空批鉴权。完成批次不可覆盖，GET不启动Spark或模型。</w:t>
      </w:r>
    </w:p>
    <w:p>
      <w:pPr>
        <w:widowControl/>
        <w:ind w:left="198" w:hanging="198"/>
      </w:pPr>
      <w:r>
        <w:t xml:space="preserve">5  复用固定小样本/独立答案、合成生成种子、主体分布和已有1万/10万实验；百万未选。保留同口径基线/冷热启动方法，不因本次核验重新生成所有输入或重跑实验。</w:t>
      </w:r>
    </w:p>
    <w:p>
      <w:pPr>
        <w:widowControl/>
        <w:ind w:left="198" w:hanging="198"/>
      </w:pPr>
      <w:r>
        <w:t xml:space="preserve">6  复用固定python-learning-csv/1.0、C01–C06、Q01–Q16及7个输出向量：正确4、错误9、信息不足3；78已知判定单元、69已知正确、18未知。按r2执行规则核对加J1，不要求R1/R2人工双评。冻结答案及原门槛不变，模型/输入/费用另获实际授权。</w:t>
      </w:r>
    </w:p>
    <w:p>
      <w:pPr>
        <w:widowControl/>
        <w:ind w:left="198" w:hanging="198"/>
      </w:pPr>
      <w:r>
        <w:t>7  最小AI会话独立于旧WorkflowRun，绑定模板/Context/步骤/尝试版本，定义等待、继续、取消和确认。自我声明、固定输出核对、AI静态判断、教师认可分别记录；首次正确允许直接完成，两次提交只是验收支线。</w:t>
      </w:r>
    </w:p>
    <w:p>
      <w:pPr>
        <w:widowControl/>
        <w:ind w:left="198" w:hanging="198"/>
      </w:pPr>
      <w:r>
        <w:t>8  两页职责固定为项目准备维护事实，实践工作台组织任务与提交反馈，数据页解释已发布分析。现有业务接口继续兼容；未来事件记录criterion_id/issue_type等已批字段，首版快照先不依赖不存在的字段。</w:t>
      </w:r>
    </w:p>
    <w:p>
      <w:pPr>
        <w:widowControl/>
        <w:ind w:left="198" w:hanging="198"/>
      </w:pPr>
      <w:r>
        <w:t xml:space="preserve">9  A/B批准范围内核验复用；新增依赖/API/持久化/质量门槛先列差异，未经确认不实施。设计批准不等于写库、模型费用或后续阶段指令。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形成可审查的数据字典、状态/实体/API样例、分析专题、固定答案、评价评分表和版本化验收矩阵。</w:t>
      </w:r>
    </w:p>
    <w:p>
      <w:pPr>
        <w:widowControl/>
        <w:ind w:left="198" w:hanging="198"/>
      </w:pPr>
      <w:r>
        <w:t>2  S03至S06的依赖不包含新AI会话；S11明确选做且跳过不影响S12/S13。</w:t>
      </w:r>
    </w:p>
    <w:p>
      <w:pPr>
        <w:widowControl/>
        <w:ind w:left="198" w:hanging="198"/>
      </w:pPr>
      <w:r>
        <w:t>3  每项指标说明能支持和不能支持的结论，分析问题有对应图表与可核对结果。</w:t>
      </w:r>
    </w:p>
    <w:p>
      <w:pPr>
        <w:widowControl/>
        <w:ind w:left="198" w:hanging="198"/>
      </w:pPr>
      <w:r>
        <w:t>4  分析正确性样例在S04验证，初步规模实验在S06运行，AI质量在S08验证；S12不作为首次有效性检查。</w:t>
      </w:r>
    </w:p>
    <w:p>
      <w:pPr>
        <w:widowControl/>
      </w:pPr>
      <w:r>
        <w:t>阶段门槛：分析问题、源字段和独立答案未冻结则不进入S03；高影响变更先有具体授权。S11未选不构成阻塞。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不预先实现全部实体、API或抽象，不为选做模板设计完整平台。</w:t>
      </w:r>
    </w:p>
    <w:p>
      <w:pPr>
        <w:widowControl/>
        <w:ind w:left="198" w:hanging="198"/>
      </w:pPr>
      <w:r>
        <w:t>2  不将文档调整视为业务迁移、付费模型或安装的自动批准，不规定未经任务书确认的专业硬指标。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开发相关文档/开发规划/AI实践与大数据实施契约.md，明确V2与分段批准范围。</w:t>
      </w:r>
    </w:p>
    <w:p>
      <w:pPr>
        <w:widowControl/>
        <w:ind w:left="198" w:hanging="198"/>
      </w:pPr>
      <w:r>
        <w:t>2  S01-完成报告.md、真实确认记录、样例及预期答案、分析/AI评分表、周门槛和缩减清单。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S01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S01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