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2"/>
        </w:rPr>
        <w:t>ScholarHub S02 现有业务最小闭环与数据契约落实</w:t>
      </w:r>
    </w:p>
    <w:p>
      <w:pPr>
        <w:pStyle w:val="Subtitle"/>
        <w:widowControl/>
      </w:pPr>
      <w:r>
        <w:t xml:space="preserve">V2 20261021修订  依据V2-S01-r2  已交付 优先核验复用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 xml:space="preserve">20261021修订：S00–S05已交付；S06工程与实验完成、J1待评；S07–S10未实施，S11默认跳过。以最新交接和源码为准，已具备能力核验复用。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 xml:space="preserve">请只执行S02范围的来源核验。现有学习记录、个人任务、教学提交版本及可信教师反馈已有隔离证据；先复用当前来源，只修可达的归属、状态、关系或计数阻塞。既有AI请求仅按已批准辅助白名单使用，不作为核心10表分析前置；不新建AI实践会话。</w:t>
      </w:r>
    </w:p>
    <w:p>
      <w:pPr>
        <w:widowControl/>
      </w:pPr>
      <w:r>
        <w:t>直接前置阶段：S01。前置条件：先完成 S01 范围、数据、指标与评价契约，并取得该版本的明确确认；S01 必须已经引用 S00 当前业务基线，冻结至少一个有独立答案的学习过程分析专题、三类指标、评分方法、源字段、数据权限与本轮验证边界。未完成这些前置条件时，只列缺口，不进入实现。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 xml:space="preserve">2  遵守AGENTS.md、stop-that-shit和frontend-backend-code-standards；沿用现有Vue/TypeScript、FastAPI/SQLAlchemy/MySQL、Provider及界面设计，复用分析链。状态/字段/评分以已批准V2-S01-r2为准，不重建平台。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S00 当前工作区、服务与验证基线，以及必须保护的未提交文件清单；读取当前模型、路由和相关服务，不用旧报告替代现状。</w:t>
      </w:r>
    </w:p>
    <w:p>
      <w:pPr>
        <w:widowControl/>
        <w:ind w:left="198" w:hanging="198"/>
      </w:pPr>
      <w:r>
        <w:t>2  S01 确认版契约：专题问题与独立答案、三类指标公式及评分、来源关系、业务时间窗口、拟改文件与允许的接口及持久化变化。</w:t>
      </w:r>
    </w:p>
    <w:p>
      <w:pPr>
        <w:widowControl/>
        <w:ind w:left="198" w:hanging="198"/>
      </w:pPr>
      <w:r>
        <w:t>3  本轮明确授权的隔离数据库名称、连接目标与清理范围；现有服务指向业务库时先停止写入准备，不沿用历史授权，也不输出连接秘密。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先按当前代码定位最小调用链：本人学习记录创建与修改、计划和每日任务、现有 AIRequest、教学提交版本与 Feedback。形成契约字段到实际 ORM、API 和归属校验的映射；只关注选定专题所需字段，不重做全项目审计。</w:t>
      </w:r>
    </w:p>
    <w:p>
      <w:pPr>
        <w:widowControl/>
        <w:ind w:left="198" w:hanging="198"/>
      </w:pPr>
      <w:r>
        <w:t>2  在已授权隔离库通过真实 API 建立一条最小业务链，记录使用者、对象编号、时间和预期状态。学习分钟来自真实记录字段；任务来自保存的明细。已有链路能满足契约就保存证据，禁止新增一套平行 CRUD、改造全部页面或补采与专题无关的数据。</w:t>
      </w:r>
    </w:p>
    <w:p>
      <w:pPr>
        <w:widowControl/>
        <w:ind w:left="198" w:hanging="198"/>
      </w:pPr>
      <w:r>
        <w:t>3  复用现有教学机制演示学生提交 V1、教师退回、学生提交 V2、教师 ACCEPT，并核对版本号、revision、反馈和关联学习记录。现有 submission_versions 保存说明、仓库 URL 与 ref 等字段，必须按实际字段命名，不把可变仓库引用说成代码快照、平台代码执行或自动判题。</w:t>
      </w:r>
    </w:p>
    <w:p>
      <w:pPr>
        <w:widowControl/>
        <w:ind w:left="198" w:hanging="198"/>
      </w:pPr>
      <w:r>
        <w:t>4  教学来源由真实 ACCEPT Feedback 与 learning_record_id、提交版本及用户关系共同证明。伪造的 record_metadata.source 不能升级为教学来源；被退回版本、普通人工记录与教师确认通过分开保留。通过记录时长为 NULL 时，保留缺失含义，不填零、不估算学习耗时。</w:t>
      </w:r>
    </w:p>
    <w:p>
      <w:pPr>
        <w:widowControl/>
        <w:ind w:left="198" w:hanging="198"/>
      </w:pPr>
      <w:r>
        <w:t>5  验证分母和完成边界：任务完成率使用 completed 数除以全部保留任务数，cancelled 仍纳入分母并单独计数；199／200 保持 99.5%，空任务集合为无样本，不能依据展示整数进度判定全部完成。验证现有终态保护，不借分析需求放开业务约束。</w:t>
      </w:r>
    </w:p>
    <w:p>
      <w:pPr>
        <w:widowControl/>
        <w:ind w:left="198" w:hanging="198"/>
      </w:pPr>
      <w:r>
        <w:t>6  落实时间与输入规则：occurred_at、submitted_at 等按 UTC 瞬间处理，scheduled_date 作为 DATE 原值保留。当前 API 不接受的历史零值、冲突来源与异常时间放入后续离线样本，不能通过绕过校验向业务库制造脏数据。</w:t>
      </w:r>
    </w:p>
    <w:p>
      <w:pPr>
        <w:widowControl/>
        <w:ind w:left="198" w:hanging="198"/>
      </w:pPr>
      <w:r>
        <w:t>7  只对有复现证据的数据正确性阻塞做最小修复，沿用现有权限、事务、技术栈和错误结构。已确认的 S01 具体变更直接实施；若需要更换指标语义、扩大公开 API 或数据库影响，记录与契约的差异后停止该项，不反复申请已获准的同一修改。</w:t>
      </w:r>
    </w:p>
    <w:p>
      <w:pPr>
        <w:widowControl/>
        <w:ind w:left="198" w:hanging="198"/>
      </w:pPr>
      <w:r>
        <w:t>8  围绕本轮真实链验证重复提交请求、重复反馈与旧 revision：已有幂等返回不增加版本或通过记录，冲突失败不留下半条数据。需要 AIRequest 样本时优先复用已授权记录或隔离 fake Provider；没有独立模型预算就不发真实模型请求。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真实 API 证据能串起选定学习记录、任务和教学 V1 退回／V2 通过链；每个事实对应数据库关系及返回字段，Mock、真实 API 和人工推算分列。</w:t>
      </w:r>
    </w:p>
    <w:p>
      <w:pPr>
        <w:widowControl/>
        <w:ind w:left="198" w:hanging="198"/>
      </w:pPr>
      <w:r>
        <w:t>2  独立手算表列出记录分钟与缺失数、任务分子分母及取消数、专题预期结论；199／200、无样本和可信 ACCEPT 来源全部符合 S01，不以旧报告截图代替本轮核对。</w:t>
      </w:r>
    </w:p>
    <w:p>
      <w:pPr>
        <w:widowControl/>
        <w:ind w:left="198" w:hanging="198"/>
      </w:pPr>
      <w:r>
        <w:t>3  重复请求、重复反馈和版本冲突均有实际返回及记录数量证据；新增或复用通过记录的时长、来源和归属正确，失败后没有部分写入。</w:t>
      </w:r>
    </w:p>
    <w:p>
      <w:pPr>
        <w:widowControl/>
        <w:ind w:left="198" w:hanging="198"/>
      </w:pPr>
      <w:r>
        <w:t>4  字段契约与实际模型一致，现有能力和本阶段修复分开记录；无新 AI 会话、无业务库污染，相关检查只覆盖本轮影响并保留恢复记录。</w:t>
      </w:r>
    </w:p>
    <w:p>
      <w:pPr>
        <w:widowControl/>
      </w:pPr>
      <w:r>
        <w:t>阶段门槛：若未明确本轮隔离库写入授权、S01 专题及三类指标答案不完整、可信 ACCEPT 关系无法成立，或最小业务链存在影响抽取的数据正确性阻塞，停在本阶段并报告具体缺口。全部验收通过后交付 S03 输入，不自动启动 S03，也不启动后续 AI 会话建设。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不新增自然语言工作流生成、等待提交会话、学生实践工作台或第二模板；不得把它们作为 S03 数据来源前提。</w:t>
      </w:r>
    </w:p>
    <w:p>
      <w:pPr>
        <w:widowControl/>
        <w:ind w:left="198" w:hanging="198"/>
      </w:pPr>
      <w:r>
        <w:t>2  不抓取仓库代码、不运行学生代码、不补造专注时长和历史访问，不改造现有统计为 Spark。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交付实际源表与 API 字段映射、可信教学关系查询条件、S01 契约落实清单及必要最小差异。</w:t>
      </w:r>
    </w:p>
    <w:p>
      <w:pPr>
        <w:widowControl/>
        <w:ind w:left="198" w:hanging="198"/>
      </w:pPr>
      <w:r>
        <w:t>2  交付隔离验证对象清单、真实返回、独立手算答案、幂等和版本冲突证据、清理结果与未解决阻塞；S03 据此抽取已有来源。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报告建议路径：开发相关文档/阶段报告/AI大数据改造/V2/S02-完成报告.md。没有用户下一阶段指令，不执行下一阶段。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S02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S02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