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ScholarHub S04 PySpark 清洗关联与指标聚合</w:t>
      </w:r>
    </w:p>
    <w:p>
      <w:pPr>
        <w:pStyle w:val="Subtitle"/>
        <w:widowControl/>
      </w:pPr>
      <w:r>
        <w:t xml:space="preserve">V2 20261021修订  依据V2-S01-r2  已交付 优先核验复用</w:t>
      </w:r>
    </w:p>
    <w:p>
      <w:pPr>
        <w:widowControl/>
      </w:pPr>
      <w:r>
        <w:t xml:space="preserve">用法  先读任务交接与20261021计划书，再发送“只执行本阶段，保护已有修改，更新交接后停止”。本包修订不等于阶段实施或新增授权。</w:t>
      </w:r>
    </w:p>
    <w:p>
      <w:pPr>
        <w:widowControl/>
      </w:pPr>
      <w:r>
        <w:t xml:space="preserve">20261021修订：S00–S05已交付；S06工程与实验完成、J1待评；S07–S10未实施，S11默认跳过。以最新交接和源码为准，已具备能力核验复用。</w:t>
      </w:r>
    </w:p>
    <w:p>
      <w:pPr>
        <w:pStyle w:val="Heading1"/>
      </w:pPr>
      <w:r>
        <w:rPr>
          <w:color w:val="000000"/>
        </w:rPr>
        <w:t>可直接发送给 AI 的完整指令</w:t>
      </w:r>
    </w:p>
    <w:p>
      <w:pPr>
        <w:pStyle w:val="Heading2"/>
      </w:pPr>
      <w:r>
        <w:rPr>
          <w:color w:val="000000"/>
        </w:rPr>
        <w:t>一 当前任务与前置条件</w:t>
      </w:r>
    </w:p>
    <w:p>
      <w:pPr>
        <w:widowControl/>
      </w:pPr>
      <w:r>
        <w:t xml:space="preserve">请只执行S04范围的计算核验。已有真实PySpark显式Schema、DWD/ADS和独立答案，先复用固定输入与完成目录；当前任务需要重算时使用新job和新目录，禁止覆盖完成产物。计算正确性用独立规则核对，S06的J1解释评价不前移为本阶段阻塞。</w:t>
      </w:r>
    </w:p>
    <w:p>
      <w:pPr>
        <w:widowControl/>
      </w:pPr>
      <w:r>
        <w:t>直接前置阶段：S03。前置条件：S03 已交付完整一致性 ODS、小样本与独立答案、专题评分样例及至少一个可运行规模档；S01 指标语义、S02 来源契约和实际字段未变更。真实 Spark 环境已经在 S00 核实可用；若环境尚未具备，先报告具体缺口，不把普通 Python 聚合标为 Spark。</w:t>
      </w:r>
    </w:p>
    <w:p>
      <w:pPr>
        <w:pStyle w:val="Heading2"/>
      </w:pPr>
      <w:r>
        <w:rPr>
          <w:color w:val="000000"/>
        </w:rPr>
        <w:t>二 共同执行约束</w:t>
      </w:r>
    </w:p>
    <w:p>
      <w:pPr>
        <w:widowControl/>
        <w:ind w:left="198" w:hanging="198"/>
      </w:pPr>
      <w:r>
        <w:t xml:space="preserve">1  根目录为C:\Users\Administrator\Desktop\毕业设计\ScholarHub。先读开发相关文档/任务交接.md及开发相关文档/开发规划/20261021-大数据主线最小改动与AI实践衔接计划书.md，核对本阶段报告、当前Git和用户最新指令。每次只执行一个阶段，保护既有未提交工作；无源码访问先列缺少材料，不从S00重新初始化。</w:t>
      </w:r>
    </w:p>
    <w:p>
      <w:pPr>
        <w:widowControl/>
        <w:ind w:left="198" w:hanging="198"/>
      </w:pPr>
      <w:r>
        <w:t xml:space="preserve">2  遵守AGENTS.md、stop-that-shit和frontend-backend-code-standards；沿用现有Vue/TypeScript、FastAPI/SQLAlchemy/MySQL、Provider及界面设计，复用分析链。状态/字段/评分以已批准V2-S01-r2为准，不重建平台。</w:t>
      </w:r>
    </w:p>
    <w:p>
      <w:pPr>
        <w:widowControl/>
        <w:ind w:left="198" w:hanging="198"/>
      </w:pPr>
      <w:r>
        <w:t>3  新增依赖、公共API、持久化/迁移、兼容性与检查策略先给具体影响和方案，再按真实授权实施；S01已批准的同一范围不重复审批，新增范围不得自批。写库须确认本轮专用隔离目标及当前状态，不退回业务库或清空既有数据。</w:t>
      </w:r>
    </w:p>
    <w:p>
      <w:pPr>
        <w:widowControl/>
        <w:ind w:left="198" w:hanging="198"/>
      </w:pPr>
      <w:r>
        <w:t>4  真实收费模型先有模型、输入范围及调用/费用上限授权；安装、凭证和账户变更同样遵循明确授权。禁止输出.env、密钥、Token、密码或原始私人正文；Fake/Mock不代表真实模型质量。</w:t>
      </w:r>
    </w:p>
    <w:p>
      <w:pPr>
        <w:widowControl/>
        <w:ind w:left="198" w:hanging="198"/>
      </w:pPr>
      <w:r>
        <w:t>5  遵循Router→Service→Repository→Model，服务端核对身份、归属和版本。等待模型或学生不持数据库锁；学生代码仅静态评审。自测声明、输出值核对、AI建议和教师确认分别记录；普通图表GET不触发Spark或模型。</w:t>
      </w:r>
    </w:p>
    <w:p>
      <w:pPr>
        <w:widowControl/>
        <w:ind w:left="198" w:hanging="198"/>
      </w:pPr>
      <w:r>
        <w:t>6  运行与本阶段相关的既有检查，前端按项目命令做类型/构建，后端使用已确认backend/.venv和unittest入口。数据、API、MySQL、Mock、Spark、模型质量和清理证据分别报告，历史成绩不写成本轮通过。</w:t>
      </w:r>
    </w:p>
    <w:p>
      <w:pPr>
        <w:widowControl/>
        <w:ind w:left="198" w:hanging="198"/>
      </w:pPr>
      <w:r>
        <w:t xml:space="preserve">7  中文日志沿用开发相关文档/开发日志/开发操作日志.md，报告放开发相关文档/阶段报告/AI大数据改造/V2。阶段结束、关键阻塞、换AI或准备压缩前先更新开发相关文档/任务交接.md：任务卡、已改文件、实际命令/证据、授权与消耗、缺口、恢复点和下一步。不得只留聊天纪要；不自动提交、推送、发布或开始下一阶段。</w:t>
      </w:r>
    </w:p>
    <w:p>
      <w:pPr>
        <w:pStyle w:val="Heading2"/>
      </w:pPr>
      <w:r>
        <w:rPr>
          <w:color w:val="000000"/>
        </w:rPr>
        <w:t>三 必须读取的输入</w:t>
      </w:r>
    </w:p>
    <w:p>
      <w:pPr>
        <w:widowControl/>
        <w:ind w:left="198" w:hanging="198"/>
      </w:pPr>
      <w:r>
        <w:t>1  固定 snapshot_id 的 ODS 与 manifest、字段白名单、时区与窗口、源版本、各表行数和关联键。</w:t>
      </w:r>
    </w:p>
    <w:p>
      <w:pPr>
        <w:widowControl/>
        <w:ind w:left="198" w:hanging="198"/>
      </w:pPr>
      <w:r>
        <w:t>2  S01 冻结的三类指标、专题预期输出、评分准则，以及 S03 人工或独立 Python／SQL 形成的答案表。</w:t>
      </w:r>
    </w:p>
    <w:p>
      <w:pPr>
        <w:widowControl/>
        <w:ind w:left="198" w:hanging="198"/>
      </w:pPr>
      <w:r>
        <w:t>3  现有可用 PySpark／Java 环境、已确认资源限制和选定实验档；依赖或环境变化只在 S01 已授权范围内执行，缺失时不静默安装。</w:t>
      </w:r>
    </w:p>
    <w:p>
      <w:pPr>
        <w:pStyle w:val="Heading2"/>
      </w:pPr>
      <w:r>
        <w:rPr>
          <w:color w:val="000000"/>
        </w:rPr>
        <w:t>四 本阶段实施步骤</w:t>
      </w:r>
    </w:p>
    <w:p>
      <w:pPr>
        <w:widowControl/>
        <w:ind w:left="198" w:hanging="198"/>
      </w:pPr>
      <w:r>
        <w:t>1  创建只接受明确输入快照与输出任务标识的离线作业入口，记录运行命令、Spark 及 Python 版本、参数、开始结束时间和规则版本。显式声明各源 schema，禁止依靠少量样本自动推断导致 NULL、整数、DATE 或时间戳类型漂移。</w:t>
      </w:r>
    </w:p>
    <w:p>
      <w:pPr>
        <w:widowControl/>
        <w:ind w:left="198" w:hanging="198"/>
      </w:pPr>
      <w:r>
        <w:t>2  用 DataFrame 完成类型规范与质量分流。按源主键识别完全重复与同键冲突：前者按契约去重并计数，后者进入带原因的异常集合，不能任意保留一行。校验主键、主体、关联、枚举、时间与分钟范围，保留原始定位键和异常原因。</w:t>
      </w:r>
    </w:p>
    <w:p>
      <w:pPr>
        <w:widowControl/>
        <w:ind w:left="198" w:hanging="198"/>
      </w:pPr>
      <w:r>
        <w:t>3  保持 NULL 与零的独立语义：未知分钟、未知 Token 或未知耗时不得补成真实零值；合法历史零值按 S01 单独分类。当前分钟 API 范围与历史库范围不同的情况明示规则，不通过丢弃异常让结果看似完整；输出有效数、缺失数与异常数。</w:t>
      </w:r>
    </w:p>
    <w:p>
      <w:pPr>
        <w:widowControl/>
        <w:ind w:left="198" w:hanging="198"/>
      </w:pPr>
      <w:r>
        <w:t>4  建立可信教学来源关联，只接受真实 ACCEPT Feedback 指向的学习记录及匹配的提交版本、主体。JSON.source 只是原始字段，不决定来源；V1 退回与 V2 通过保持两个版本事实，关联时核查唯一性与基数，避免一对多连接放大学习分钟、任务数或记录数。</w:t>
      </w:r>
    </w:p>
    <w:p>
      <w:pPr>
        <w:widowControl/>
        <w:ind w:left="198" w:hanging="198"/>
      </w:pPr>
      <w:r>
        <w:t>5  按契约转换 UTC 瞬间到业务日并应用统一左闭右开窗口；scheduled_date 保持 DATE，不再次转换时区。DWD 明确区分事件事实与任务批次快照，当前状态不能伪装成每个历史时点都发生过的状态变化。</w:t>
      </w:r>
    </w:p>
    <w:p>
      <w:pPr>
        <w:widowControl/>
        <w:ind w:left="198" w:hanging="198"/>
      </w:pPr>
      <w:r>
        <w:t>6  使用 Spark SQL 生成 ADS。记录分钟仅求和非 NULL 值并同时输出覆盖情况；活跃日来自有记录的业务日；任务率保存 completed 分子、全部保留任务分母和取消数，分母为零返回 NULL。199／200 为 99.5%，不得凭展示值 100 推断任务已全部完成。</w:t>
      </w:r>
    </w:p>
    <w:p>
      <w:pPr>
        <w:widowControl/>
        <w:ind w:left="198" w:hanging="198"/>
      </w:pPr>
      <w:r>
        <w:t>7  实现 S01 冻结专题的计算和证据输出，将三类指标组织成能回答学习过程问题的结果。每条规则结论保留触发条件、样本量、分子分母及涉及日期或来源，支持反例与未触发情况；不新增临时公式、不输出无来源能力评分，也不把教学 ACCEPT 等同于代码测试通过。</w:t>
      </w:r>
    </w:p>
    <w:p>
      <w:pPr>
        <w:widowControl/>
        <w:ind w:left="198" w:hanging="198"/>
      </w:pPr>
      <w:r>
        <w:t>8  建立层间核对：ODS 行数与去重、有效、异常分流能够对账，关联前后基数受控，ADS 汇总能回溯到 DWD 主键。对跨午夜、可信来源、历史零值、空组、取消与 199／200逐项比较独立答案，并用另一实现计算同一输入，不让被测作业自行生成期望值。</w:t>
      </w:r>
    </w:p>
    <w:p>
      <w:pPr>
        <w:widowControl/>
        <w:ind w:left="198" w:hanging="198"/>
      </w:pPr>
      <w:r>
        <w:t>9  在真实 Spark 下跑通小样本后再执行选定规模档，记录计算耗时和全流程耗时、资源配置及可取得的峰值内存等指标。Python／SQL 基线使用同一快照、过滤、关联与 NULL 规则；如加载输入另有成本，单列说明，不承诺 Spark 在小数据上一定更快。</w:t>
      </w:r>
    </w:p>
    <w:p>
      <w:pPr>
        <w:widowControl/>
        <w:ind w:left="198" w:hanging="198"/>
      </w:pPr>
      <w:r>
        <w:t>10  验证中途失败、重复提交作业和规则版本变化。失败输出保持未完成标识，重试只重写该未完成任务的暂存；成功 DWD／ADS 不覆盖，规则变更产生新版本结果，发布前不把未完成文件交给后端读取。</w:t>
      </w:r>
    </w:p>
    <w:p>
      <w:pPr>
        <w:pStyle w:val="Heading2"/>
      </w:pPr>
      <w:r>
        <w:rPr>
          <w:color w:val="000000"/>
        </w:rPr>
        <w:t>五 验收标准与证据</w:t>
      </w:r>
    </w:p>
    <w:p>
      <w:pPr>
        <w:widowControl/>
        <w:ind w:left="198" w:hanging="198"/>
      </w:pPr>
      <w:r>
        <w:t>1  有实际 spark-submit 或等价 PySpark 运行日志及 DWD、ADS、异常和质量输出；普通 SQL 或 Mock 只能作对照，不能代替真实 Spark 证据。</w:t>
      </w:r>
    </w:p>
    <w:p>
      <w:pPr>
        <w:widowControl/>
        <w:ind w:left="198" w:hanging="198"/>
      </w:pPr>
      <w:r>
        <w:t>2  三类指标、专题结论与反例全部符合冻结答案及评分，核心边界逐项一致，输入到聚合结果可对账、可定位。</w:t>
      </w:r>
    </w:p>
    <w:p>
      <w:pPr>
        <w:widowControl/>
        <w:ind w:left="198" w:hanging="198"/>
      </w:pPr>
      <w:r>
        <w:t>3  至少一个选定规模档与同口径基线实际完成，时间与资源有真实记录，未完成实验和环境限制如实列出。</w:t>
      </w:r>
    </w:p>
    <w:p>
      <w:pPr>
        <w:widowControl/>
        <w:ind w:left="198" w:hanging="198"/>
      </w:pPr>
      <w:r>
        <w:t>4  故障重试不读取半成品、不覆盖已完成输出；snapshot_id、规则版本与 job 标识在所有产物中可追溯。</w:t>
      </w:r>
    </w:p>
    <w:p>
      <w:pPr>
        <w:widowControl/>
      </w:pPr>
      <w:r>
        <w:t>阶段门槛：真实 Spark 未运行、专题仅剩总和、答案与聚合不一致、来源关联放大、NULL／DATE／分母语义漂移或质量无法对账时，停止发布准备。验收通过后交付 S05 所需完成产物，不自动改库或启动发布阶段。</w:t>
      </w:r>
    </w:p>
    <w:p>
      <w:pPr>
        <w:pStyle w:val="Heading2"/>
      </w:pPr>
      <w:r>
        <w:rPr>
          <w:color w:val="000000"/>
        </w:rPr>
        <w:t>六 明确不做的内容</w:t>
      </w:r>
    </w:p>
    <w:p>
      <w:pPr>
        <w:widowControl/>
        <w:ind w:left="198" w:hanging="198"/>
      </w:pPr>
      <w:r>
        <w:t>1  不创建发布表、Web 查询接口或新页面，不让作业直接写业务记录，不增加实时调度、流计算或任意代码执行平台。</w:t>
      </w:r>
    </w:p>
    <w:p>
      <w:pPr>
        <w:widowControl/>
        <w:ind w:left="198" w:hanging="198"/>
      </w:pPr>
      <w:r>
        <w:t>2  不为追求预设性能结论更换输入、缩减基线口径或隐去启动成本；不调用真实模型解释结果。</w:t>
      </w:r>
    </w:p>
    <w:p>
      <w:pPr>
        <w:pStyle w:val="Heading2"/>
      </w:pPr>
      <w:r>
        <w:rPr>
          <w:color w:val="000000"/>
        </w:rPr>
        <w:t>七 交付与交接</w:t>
      </w:r>
    </w:p>
    <w:p>
      <w:pPr>
        <w:widowControl/>
        <w:ind w:left="198" w:hanging="198"/>
      </w:pPr>
      <w:r>
        <w:t>1  交付可复跑 Spark 作业、schema 与 SQL、DWD／ADS 字典、质量对账、专题评分及独立基线结果。</w:t>
      </w:r>
    </w:p>
    <w:p>
      <w:pPr>
        <w:widowControl/>
        <w:ind w:left="198" w:hanging="198"/>
      </w:pPr>
      <w:r>
        <w:t>2  交付具体成功任务的 snapshot_id、job 标识、规则版本、输出位置、规模和故障恢复证据；S05 只发布完整通过的产物。</w:t>
      </w:r>
    </w:p>
    <w:p>
      <w:pPr>
        <w:pStyle w:val="Heading2"/>
      </w:pPr>
      <w:r>
        <w:rPr>
          <w:color w:val="000000"/>
        </w:rPr>
        <w:t>八 停止条件与回复格式</w:t>
      </w:r>
    </w:p>
    <w:p>
      <w:pPr>
        <w:widowControl/>
        <w:ind w:left="198" w:hanging="198"/>
      </w:pPr>
      <w:r>
        <w:t>1  完成本阶段验收后停止，下一阶段只交接。若已有能力符合验收就验证复用，不重复开发；发现外围问题只记录，不扩大范围。</w:t>
      </w:r>
    </w:p>
    <w:p>
      <w:pPr>
        <w:widowControl/>
        <w:ind w:left="198" w:hanging="198"/>
      </w:pPr>
      <w:r>
        <w:t>2  前置证据、必要授权、环境或质量门槛缺失时，交付已完成材料与准确阻塞。分别标通过、失败、未运行、待确认和未选择，不把工程通过或文档完成写成模型有效或整包完成。</w:t>
      </w:r>
    </w:p>
    <w:p>
      <w:pPr>
        <w:widowControl/>
        <w:ind w:left="198" w:hanging="198"/>
      </w:pPr>
      <w:r>
        <w:t>3  回复依次包含阶段与状态、基线保护、实际修改、契约及授权依据、检查与原始结果、证据路径、未完成影响、清理恢复、下一阶段输入。</w:t>
      </w:r>
    </w:p>
    <w:p>
      <w:pPr>
        <w:widowControl/>
      </w:pPr>
      <w:r>
        <w:t>报告建议路径：开发相关文档/阶段报告/AI大数据改造/V2/S04-完成报告.md。没有用户下一阶段指令，不执行下一阶段。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077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S04 V2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000000"/>
        <w:sz w:val="16"/>
      </w:rPr>
      <w:t>ScholarHub  大数据主线与 AI 实践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line="293" w:lineRule="auto" w:after="100" w:before="0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00" w:line="293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100" w:line="293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280" w:line="293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line="293" w:lineRule="auto" w:after="100" w:before="0"/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S04 V2</dc:title>
  <dc:subject>数据科学与大数据技术专业阶段实施指令 V2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