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S05 分析批次发布与只读接口</w:t>
      </w:r>
    </w:p>
    <w:p>
      <w:pPr>
        <w:pStyle w:val="Subtitle"/>
        <w:widowControl/>
      </w:pPr>
      <w:r>
        <w:t xml:space="preserve">V2 20261021修订  依据V2-S01-r2  已交付 优先核验复用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 xml:space="preserve">20261021修订：S00–S05已交付；S06工程与实验完成、J1待评；S07–S10未实施，S11默认跳过。以最新交接和源码为准，已具备能力核验复用。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 xml:space="preserve">请只执行S05范围的发布核验。两张分析表和两个本人GET已有实现，先复用已验收产物与受控发布，不重复建表或追加同义接口。用户当前任务确需新发布时才核实隔离目标及范围；旧完成批次不可覆盖，普通GET永不触发Spark、模型或写入。</w:t>
      </w:r>
    </w:p>
    <w:p>
      <w:pPr>
        <w:widowControl/>
      </w:pPr>
      <w:r>
        <w:t xml:space="preserve">直接前置阶段：S04。需要真实Spark成功产物、质量对账及独立答案，S01的分析两表/两个GET/身份/版本设计已批准。S04计算正确性与S06的J1解释评分分开，不能因J1待评拒绝已有合法批次，也不能把发布成功写成S06完整验收通过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  <w:ind w:left="198" w:hanging="198"/>
      </w:pPr>
      <w:r>
        <w:t xml:space="preserve">2  遵守AGENTS.md、stop-that-shit和frontend-backend-code-standards；沿用现有Vue/TypeScript、FastAPI/SQLAlchemy/MySQL、Provider及界面设计，复用分析链。状态/字段/评分以已批准V2-S01-r2为准，不重建平台。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 xml:space="preserve">7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S04 完成产物及其 manifest：dataset_id、snapshot_id、job 标识、规则版本、业务窗口、时区、源截点、主体覆盖、质量计数和结果行数。</w:t>
      </w:r>
    </w:p>
    <w:p>
      <w:pPr>
        <w:widowControl/>
        <w:ind w:left="198" w:hanging="198"/>
      </w:pPr>
      <w:r>
        <w:t>2  S01 已确认的分析存储与接口设计、状态转换、幂等身份、权限规则和兼容边界；按该具体契约实施，不为已确认项重复设置审批。</w:t>
      </w:r>
    </w:p>
    <w:p>
      <w:pPr>
        <w:widowControl/>
        <w:ind w:left="198" w:hanging="198"/>
      </w:pPr>
      <w:r>
        <w:t>3  本轮明确授权的隔离数据库与迁移验证范围、现有迁移和认证框架，以及发布失败后的上一成功批次。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先核对 S01 契约与 S04 实际输出，按已确认方案增加批次元数据和必要汇总表、唯一约束及查询索引。批次保存数据集种类、输入快照、任务与指标版本、窗口、时区、截止与完成时间、归属范围和质量摘要；结果键包含批次、用户及契约维度。</w:t>
      </w:r>
    </w:p>
    <w:p>
      <w:pPr>
        <w:widowControl/>
        <w:ind w:left="198" w:hanging="198"/>
      </w:pPr>
      <w:r>
        <w:t>2  实现离线发布入口，拒绝未完成、质量未通过、schema 或规则版本不兼容的产物。发布使用固定输入任务标识，验证主体、窗口与各结果表的覆盖；文件路径由受控任务清单解析，不能通过 API 参数接受任意本机路径。</w:t>
      </w:r>
    </w:p>
    <w:p>
      <w:pPr>
        <w:widowControl/>
        <w:ind w:left="198" w:hanging="198"/>
      </w:pPr>
      <w:r>
        <w:t>3  将创建、导入、校验与完成发布分开。导入期间结果属于未发布批次，所有表行数和质量对账通过后，以短事务标记 completed；失败保留可诊断状态，查询继续使用上一成功结果，不能因某张表先导入就暴露半套新数据。</w:t>
      </w:r>
    </w:p>
    <w:p>
      <w:pPr>
        <w:widowControl/>
        <w:ind w:left="198" w:hanging="198"/>
      </w:pPr>
      <w:r>
        <w:t>4  用 S01 确认的逻辑身份处理幂等与并发：同一输入快照、规则、任务及归属的成功发布返回已有批次；重复导入不叠加结果。仅未发布的本次批次可按受控规则清理重写；已完成批次禁止更新或覆盖，需要重算则创建新版本批次。</w:t>
      </w:r>
    </w:p>
    <w:p>
      <w:pPr>
        <w:widowControl/>
        <w:ind w:left="198" w:hanging="198"/>
      </w:pPr>
      <w:r>
        <w:t>5  实现本人批次列表、日汇总与冻结专题查询等已确认只读 API，user_id 从认证主体取得。每一个列表、详情与空结果路径先验证批次可见性、完成状态及本人范围；空批次同样鉴权，不能因为结果零行而绕过归属，也不能只靠前端隐藏他人数据。</w:t>
      </w:r>
    </w:p>
    <w:p>
      <w:pPr>
        <w:widowControl/>
        <w:ind w:left="198" w:hanging="198"/>
      </w:pPr>
      <w:r>
        <w:t>6  查询响应固定携带 batch_id、dataset_kind、时区、源截点和 metric_version，校验日期范围、分页上限、批次窗口及枚举。保留任务分子分母、取消数、分钟缺失数和样本量；零、NULL、无样本、无可用批次与查询后空列表分别表达，不让客户端猜测。</w:t>
      </w:r>
    </w:p>
    <w:p>
      <w:pPr>
        <w:widowControl/>
        <w:ind w:left="198" w:hanging="198"/>
      </w:pPr>
      <w:r>
        <w:t>7  隔离新离线接口与旧 /statistics：旧接口继续表达原业务实时聚合，新接口只读取发布结果。保留现有 API 和错误结构；测试 GET 前后离线任务启动次数及写入数，证明查看、筛选、刷新与无数据请求不会启动 Spark、模型或重新发布。</w:t>
      </w:r>
    </w:p>
    <w:p>
      <w:pPr>
        <w:widowControl/>
        <w:ind w:left="198" w:hanging="198"/>
      </w:pPr>
      <w:r>
        <w:t>8  在本轮授权隔离库执行实际迁移与真实 API 验证。用本人、另一用户、未登录身份检查批次列表、明确 batch_id、超窗查询、空批次与不存在批次；依据项目既有语义返回错误，不通过关闭鉴权或使用管理员令牌代替本人权限。</w:t>
      </w:r>
    </w:p>
    <w:p>
      <w:pPr>
        <w:widowControl/>
        <w:ind w:left="198" w:hanging="198"/>
      </w:pPr>
      <w:r>
        <w:t>9  注入导入中断、校验失败、重复发布和旧版本产物场景：失败批次不可查询，上一成功批次仍可用，重试不会重复行；并发发布遵守唯一性或状态冲突约定。只回滚或清理本轮隔离对象，保留成功历史与用户无关脏文件。</w:t>
      </w:r>
    </w:p>
    <w:p>
      <w:pPr>
        <w:widowControl/>
        <w:ind w:left="198" w:hanging="198"/>
      </w:pPr>
      <w:r>
        <w:t>10  选固定小样本，从独立手算答案、真实 Spark ADS 到已发布表及 API 返回逐项核对；记录实际批次编号、窗口、主体和版本。合成批次必须标识合成来源，不能以其数量宣称平台已有相应真实学习用户。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至少一份通过质量校验的真实 Spark 产物经隔离库实际发布并可由真实 API 查询；手算、ADS、存储和返回值同口径一致。</w:t>
      </w:r>
    </w:p>
    <w:p>
      <w:pPr>
        <w:widowControl/>
        <w:ind w:left="198" w:hanging="198"/>
      </w:pPr>
      <w:r>
        <w:t>2  成功批次不可变、重复发布幂等、失败导入不暴露半成品，上一成功结果在故障中可持续读取，并有状态与数量证据。</w:t>
      </w:r>
    </w:p>
    <w:p>
      <w:pPr>
        <w:widowControl/>
        <w:ind w:left="198" w:hanging="198"/>
      </w:pPr>
      <w:r>
        <w:t>3  本人、他人、未登录及空批次权限路径均通过；窗口、分页、NULL 和无样本语义符合 S01。</w:t>
      </w:r>
    </w:p>
    <w:p>
      <w:pPr>
        <w:widowControl/>
        <w:ind w:left="198" w:hanging="198"/>
      </w:pPr>
      <w:r>
        <w:t>4  普通 GET 不启动 Spark、不调用模型、不写业务数据；原统计接口兼容，新旧数据来源在响应与文档中明确区分。</w:t>
      </w:r>
    </w:p>
    <w:p>
      <w:pPr>
        <w:widowControl/>
      </w:pPr>
      <w:r>
        <w:t>阶段门槛：S01 未确认的数据库或公开契约差异必须先停止该项；隔离库未获本轮写入授权、批次半发布、越权含空批次、幂等不成立或 GET 启动作业任一发生时，不交付页面接入。通过后仅提交 S06 交接材料，不自动进入 S06。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不增加管理员全站或教师班级分析，不设计跨主体自由查询、在线 Spark 调度和自动重新计算。</w:t>
      </w:r>
    </w:p>
    <w:p>
      <w:pPr>
        <w:widowControl/>
        <w:ind w:left="198" w:hanging="198"/>
      </w:pPr>
      <w:r>
        <w:t>2  不覆盖历史已发布批次，不为新接口重写现有业务统计、教学提交或学习报告生成机制。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交付迁移、发布入口、批次状态与幂等规则、只读 API 契约和恢复命令，注明本轮实际隔离库及清理结果。</w:t>
      </w:r>
    </w:p>
    <w:p>
      <w:pPr>
        <w:widowControl/>
        <w:ind w:left="198" w:hanging="198"/>
      </w:pPr>
      <w:r>
        <w:t>2  交付成功、失败、空及越权样例批次、真实 API 证据和手算至发布结果的对照表，供 S06 直接消费。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报告建议路径：开发相关文档/阶段报告/AI大数据改造/V2/S05-完成报告.md。没有用户下一阶段指令，不执行下一阶段。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S05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S05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