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  <w:sz w:val="42"/>
        </w:rPr>
        <w:t>ScholarHub S11 可选自然语言草案与项目启动模板</w:t>
      </w:r>
    </w:p>
    <w:p>
      <w:pPr>
        <w:pStyle w:val="Subtitle"/>
        <w:widowControl/>
      </w:pPr>
      <w:r>
        <w:t>V2 20261025收口修订  选做未选择 默认跳过</w:t>
      </w:r>
    </w:p>
    <w:p>
      <w:pPr>
        <w:widowControl/>
      </w:pPr>
      <w:r>
        <w:t xml:space="preserve">用法  先读任务交接与20261021计划书，再发送“只执行本阶段，保护已有修改，更新交接后停止”。本包修订不等于阶段实施或新增授权。</w:t>
      </w:r>
    </w:p>
    <w:p>
      <w:pPr>
        <w:widowControl/>
      </w:pPr>
      <w:r>
        <w:t>20261025收口：S06完整通过，S07工程通过；S08历史工程通过、自动评审质量未通过。用户已选择工程闭环＋AI辅助建议，停止收费重评；本版提示词不代表辅助模式已落地。S09/S10未实施，S11默认跳过。</w:t>
      </w:r>
    </w:p>
    <w:p>
      <w:pPr>
        <w:pStyle w:val="Heading1"/>
      </w:pPr>
      <w:r>
        <w:rPr>
          <w:color w:val="000000"/>
        </w:rPr>
        <w:t>可直接发送给 AI 的完整指令</w:t>
      </w:r>
    </w:p>
    <w:p>
      <w:pPr>
        <w:pStyle w:val="Heading2"/>
      </w:pPr>
      <w:r>
        <w:rPr>
          <w:color w:val="000000"/>
        </w:rPr>
        <w:t>一 当前任务与前置条件</w:t>
      </w:r>
    </w:p>
    <w:p>
      <w:pPr>
        <w:widowControl/>
      </w:pPr>
      <w:r>
        <w:t>S11为可选自然语言草案或项目启动第二模板，本轮收口默认跳过；优先学生端、既有Spark演示和论文。不因文件存在主动开发，也不把未选项列为毕业设计缺陷。</w:t>
      </w:r>
    </w:p>
    <w:p>
      <w:pPr>
        <w:widowControl/>
      </w:pPr>
      <w:r>
        <w:t>只有用户以后明确选做才启动；前置为S10所需工程已验收及新选项具体范围/预算，而非旧自动代码评分过关。不得借本次减负重新加入自动判分或额外收费评价，未选择直接交接S12。</w:t>
      </w:r>
    </w:p>
    <w:p>
      <w:pPr>
        <w:pStyle w:val="Heading2"/>
      </w:pPr>
      <w:r>
        <w:rPr>
          <w:color w:val="000000"/>
        </w:rPr>
        <w:t>二 共同执行约束</w:t>
      </w:r>
    </w:p>
    <w:p>
      <w:pPr>
        <w:widowControl/>
        <w:ind w:left="198" w:hanging="198"/>
      </w:pPr>
      <w:r>
        <w:t xml:space="preserve">1  根目录为C:\Users\Administrator\Desktop\毕业设计\ScholarHub。先读开发相关文档/任务交接.md及开发相关文档/开发规划/20261021-大数据主线最小改动与AI实践衔接计划书.md，核对本阶段报告、当前Git和用户最新指令。每次只执行一个阶段，保护既有未提交工作；无源码访问先列缺少材料，不从S00重新初始化。</w:t>
      </w:r>
    </w:p>
    <w:p>
      <w:pPr>
        <w:widowControl/>
        <w:ind w:left="198" w:hanging="198"/>
      </w:pPr>
      <w:r>
        <w:t>2  遵守AGENTS.md、stop-that-shit和frontend-backend-code-standards；沿用Vue/TypeScript、FastAPI/SQLAlchemy/MySQL及现有Provider。未调整的数据/权限/版本规则沿用V2-S01-r2；S08完成含义与后续前置以20261025辅助建议收口补充为准，旧评分答案和阈值封存不改。</w:t>
      </w:r>
    </w:p>
    <w:p>
      <w:pPr>
        <w:widowControl/>
        <w:ind w:left="198" w:hanging="198"/>
      </w:pPr>
      <w:r>
        <w:t>3  新增依赖、公共API、持久化/迁移、兼容性与检查策略先给具体影响和方案，再按真实授权实施；S01已批准的同一范围不重复审批，新增范围不得自批。写库须确认本轮专用隔离目标及当前状态，不退回业务库或清空既有数据。</w:t>
      </w:r>
    </w:p>
    <w:p>
      <w:pPr>
        <w:widowControl/>
        <w:ind w:left="198" w:hanging="198"/>
      </w:pPr>
      <w:r>
        <w:t>4  真实收费模型先有模型、输入范围及调用/费用上限授权；安装、凭证和账户变更同样遵循明确授权。禁止输出.env、密钥、Token、密码或原始私人正文；Fake/Mock不代表真实模型质量。</w:t>
      </w:r>
    </w:p>
    <w:p>
      <w:pPr>
        <w:widowControl/>
        <w:ind w:left="198" w:hanging="198"/>
      </w:pPr>
      <w:r>
        <w:t>5  遵循Router→Service→Repository→Model，服务端核对身份、归属和版本。等待模型或学生不持数据库锁；学生代码仅静态评审。自测声明、输出值核对、AI建议和教师确认分别记录；普通图表GET不触发Spark或模型。</w:t>
      </w:r>
    </w:p>
    <w:p>
      <w:pPr>
        <w:widowControl/>
        <w:ind w:left="198" w:hanging="198"/>
      </w:pPr>
      <w:r>
        <w:t>6  运行与本阶段相关的既有检查，前端按项目命令做类型/构建，后端使用已确认backend/.venv和unittest入口。数据、API、MySQL、Mock、Spark、模型质量和清理证据分别报告，历史成绩不写成本轮通过。</w:t>
      </w:r>
    </w:p>
    <w:p>
      <w:pPr>
        <w:widowControl/>
        <w:ind w:left="198" w:hanging="198"/>
      </w:pPr>
      <w:r>
        <w:t xml:space="preserve">7  中文日志沿用开发相关文档/开发日志/开发操作日志.md，报告放开发相关文档/阶段报告/AI大数据改造/V2。阶段结束、关键阻塞、换AI或准备压缩前先更新开发相关文档/任务交接.md：任务卡、已改文件、实际命令/证据、授权与消耗、缺口、恢复点和下一步。不得只留聊天纪要；不自动提交、推送、发布或开始下一阶段。</w:t>
      </w:r>
    </w:p>
    <w:p>
      <w:pPr>
        <w:pStyle w:val="Heading2"/>
      </w:pPr>
      <w:r>
        <w:rPr>
          <w:color w:val="000000"/>
        </w:rPr>
        <w:t>三 必须读取的输入</w:t>
      </w:r>
    </w:p>
    <w:p>
      <w:pPr>
        <w:widowControl/>
        <w:ind w:left="198" w:hanging="198"/>
      </w:pPr>
      <w:r>
        <w:t>1  当前辅助建议范围、S08封存质量限制、S10工程证据与S12计划；未选时只核对选择状态，不准备新模型预算或模板实现。</w:t>
      </w:r>
    </w:p>
    <w:p>
      <w:pPr>
        <w:widowControl/>
        <w:ind w:left="198" w:hanging="198"/>
      </w:pPr>
      <w:r>
        <w:t>2  当前固定模板、会话、尝试、事件、候选应用与Context版本机制，现有需求、技术栈、架构和任务Prompt能力。</w:t>
      </w:r>
    </w:p>
    <w:p>
      <w:pPr>
        <w:widowControl/>
        <w:ind w:left="198" w:hanging="198"/>
      </w:pPr>
      <w:r>
        <w:t>3  用户选做范围记录；若选第二模板，另备规划任务、独立参考材料、评价量表与样例，不能直接套用CSV输出匹配标准。</w:t>
      </w:r>
    </w:p>
    <w:p>
      <w:pPr>
        <w:pStyle w:val="Heading2"/>
      </w:pPr>
      <w:r>
        <w:rPr>
          <w:color w:val="000000"/>
        </w:rPr>
        <w:t>四 本阶段实施步骤</w:t>
      </w:r>
    </w:p>
    <w:p>
      <w:pPr>
        <w:widowControl/>
        <w:ind w:left="198" w:hanging="198"/>
      </w:pPr>
      <w:r>
        <w:t>1  首先确认是否启动：把所选子项、具体文件接口影响、质量验证和预计工作量列明。没有明确选择就标本阶段跳过，直接交接S12；不能因文件存在或还有几天空闲自行扩大范围。</w:t>
      </w:r>
    </w:p>
    <w:p>
      <w:pPr>
        <w:widowControl/>
        <w:ind w:left="198" w:hanging="198"/>
      </w:pPr>
      <w:r>
        <w:t>2  选择自然语言草案时，仅允许生成受支持模板中的用途、任务、输入、提交物、验收项、前序与人工等待标记。固定模板仍能独立使用，草案失败不能阻塞已通过的主路径。</w:t>
      </w:r>
    </w:p>
    <w:p>
      <w:pPr>
        <w:widowControl/>
        <w:ind w:left="198" w:hanging="198"/>
      </w:pPr>
      <w:r>
        <w:t>3  资料缺失最多一轮三个关键问题；已有目标、语言或框架不重复询问。已定技术作为锁定约束，冲突方案仅作候选差异，不默默替换既定栈或改动项目事实。</w:t>
      </w:r>
    </w:p>
    <w:p>
      <w:pPr>
        <w:widowControl/>
        <w:ind w:left="198" w:hanging="198"/>
      </w:pPr>
      <w:r>
        <w:t>4  服务端确定性检查类型白名单、规模、必需输入、资源归属、引用存在、合法前序与无环关系。模型输出不能包含任意可执行代码、表达式、服务器路径或伪造资源标识作为运行逻辑。</w:t>
      </w:r>
    </w:p>
    <w:p>
      <w:pPr>
        <w:widowControl/>
        <w:ind w:left="198" w:hanging="198"/>
      </w:pPr>
      <w:r>
        <w:t>5  草案生成、审阅确认和开始实践分别触发，查询刷新无模型调用。调整显示版本与影响；已开始流程不就地改写已确认步骤，需要修订时只用已批准机制并保存来源。</w:t>
      </w:r>
    </w:p>
    <w:p>
      <w:pPr>
        <w:widowControl/>
        <w:ind w:left="198" w:hanging="198"/>
      </w:pPr>
      <w:r>
        <w:t>6  草案的技术、需求和架构内容属于候选，字段级审阅后才可按已有已批准机制应用Context；校验当前版本并保留输入来源。没有批准的写回能力时只展示，不另加隐式副作用。</w:t>
      </w:r>
    </w:p>
    <w:p>
      <w:pPr>
        <w:widowControl/>
        <w:ind w:left="198" w:hanging="198"/>
      </w:pPr>
      <w:r>
        <w:t>7  选择第二模板时，先固定项目启动规划的输入、交付物和验收要求；步骤可为目标验收、按需技术选型或架构、实施任务与成果确认。已有技术明确时减少选型，不把小函数练习套入系统设计。</w:t>
      </w:r>
    </w:p>
    <w:p>
      <w:pPr>
        <w:widowControl/>
        <w:ind w:left="198" w:hanging="198"/>
      </w:pPr>
      <w:r>
        <w:t>8  第二模板复用同一会话、尝试、事件和页面，保留明确模板与版本边界。任务Prompt使用当前输入、输出与验收，资料不足就解释缺口；不自动下载仓库、运行生成代码或修改用户项目。</w:t>
      </w:r>
    </w:p>
    <w:p>
      <w:pPr>
        <w:widowControl/>
        <w:ind w:left="198" w:hanging="198"/>
      </w:pPr>
      <w:r>
        <w:t>9  若以后选第二模板，另明确建议用途与独立材料，检查约束和来源；默认工程加人工审阅，不把CSV旧质量当新模板通过，也不恢复自动代码判分。额外质量研究仅在用户具体要求时进行。</w:t>
      </w:r>
    </w:p>
    <w:p>
      <w:pPr>
        <w:widowControl/>
        <w:ind w:left="198" w:hanging="198"/>
      </w:pPr>
      <w:r>
        <w:t>10  选做真实调用另有精确授权，不借S08剩余额度；不默认执行规则加J1或新增付费轮次。已有失败封存，未知与失败保留，未选择不产生调用。</w:t>
      </w:r>
    </w:p>
    <w:p>
      <w:pPr>
        <w:widowControl/>
        <w:ind w:left="198" w:hanging="198"/>
      </w:pPr>
      <w:r>
        <w:t>11  草案选项验证非法类型、跨用户引用、循环、缺输入和旧版本应用被拒绝；第二模板选项验证任务和成果不会串入CSV会话。只有已选择的子项需要验收，未选择项明确标跳过。</w:t>
      </w:r>
    </w:p>
    <w:p>
      <w:pPr>
        <w:widowControl/>
        <w:ind w:left="198" w:hanging="198"/>
      </w:pPr>
      <w:r>
        <w:t>12  分别检查所选子项对S06大数据主线、固定CSV实践、历史节点结果和高级画布的兼容。新增模板事件按版本独立统计，不混入旧群组漏斗或改写已发布批次。</w:t>
      </w:r>
    </w:p>
    <w:p>
      <w:pPr>
        <w:widowControl/>
        <w:ind w:left="198" w:hanging="198"/>
      </w:pPr>
      <w:r>
        <w:t>13  在预算和时间边界内收口，质量未通过就保留实验记录与可关闭入口，不依靠大幅扩展引擎补救。按真实完成范围交接S12，实验、论文和答辩证据不得为选做功能让路。</w:t>
      </w:r>
    </w:p>
    <w:p>
      <w:pPr>
        <w:pStyle w:val="Heading2"/>
      </w:pPr>
      <w:r>
        <w:rPr>
          <w:color w:val="000000"/>
        </w:rPr>
        <w:t>五 验收标准与证据</w:t>
      </w:r>
    </w:p>
    <w:p>
      <w:pPr>
        <w:widowControl/>
        <w:ind w:left="198" w:hanging="198"/>
      </w:pPr>
      <w:r>
        <w:t>1  默认跳过逻辑明确，启动有真实用户选择及核心门槛证据；草案与第二模板可分别选择，未选项不算缺陷或主线阻塞。</w:t>
      </w:r>
    </w:p>
    <w:p>
      <w:pPr>
        <w:widowControl/>
        <w:ind w:left="198" w:hanging="198"/>
      </w:pPr>
      <w:r>
        <w:t>2  若选草案：固定模板不依赖生成，非法内容由服务端拒绝，已定技术不被覆盖，确认前业务事实不变化。</w:t>
      </w:r>
    </w:p>
    <w:p>
      <w:pPr>
        <w:widowControl/>
        <w:ind w:left="198" w:hanging="198"/>
      </w:pPr>
      <w:r>
        <w:t>3  若选第二模板：项目启动与CSV的任务及验收有实际差异，并通过另定规划评价；不能把运行成功写成可泛化能力。</w:t>
      </w:r>
    </w:p>
    <w:p>
      <w:pPr>
        <w:widowControl/>
        <w:ind w:left="198" w:hanging="198"/>
      </w:pPr>
      <w:r>
        <w:t>4  候选来源、版本和确认可核对，真实模型评分与用量按所选范围单列；未授权、未运行和未通过均如实记录。</w:t>
      </w:r>
    </w:p>
    <w:p>
      <w:pPr>
        <w:widowControl/>
        <w:ind w:left="198" w:hanging="198"/>
      </w:pPr>
      <w:r>
        <w:t>5  原大数据批次、固定模板、旧路由结果及高级画布保持兼容；选做未完成不会阻塞S12对已完成主线的综合复验。</w:t>
      </w:r>
    </w:p>
    <w:p>
      <w:pPr>
        <w:widowControl/>
      </w:pPr>
      <w:r>
        <w:t>阶段门槛：默认跳过并交S12；以后只有用户明确选择、工程条件及时间预算具备才执行。原自动评审质量未通过不要求补考，也不能被选做结果改写为通过。</w:t>
      </w:r>
    </w:p>
    <w:p>
      <w:pPr>
        <w:pStyle w:val="Heading2"/>
      </w:pPr>
      <w:r>
        <w:rPr>
          <w:color w:val="000000"/>
        </w:rPr>
        <w:t>六 明确不做的内容</w:t>
      </w:r>
    </w:p>
    <w:p>
      <w:pPr>
        <w:widowControl/>
        <w:ind w:left="198" w:hanging="198"/>
      </w:pPr>
      <w:r>
        <w:t>1  不建设模板市场、教师可视化编辑器、通用节点平台或在线代码执行环境。</w:t>
      </w:r>
    </w:p>
    <w:p>
      <w:pPr>
        <w:widowControl/>
        <w:ind w:left="198" w:hanging="198"/>
      </w:pPr>
      <w:r>
        <w:t>2  不把两个选项捆绑成必做，不把新增模型评价推迟到S12，不为选做牺牲实验和论文时间。</w:t>
      </w:r>
    </w:p>
    <w:p>
      <w:pPr>
        <w:widowControl/>
        <w:ind w:left="198" w:hanging="198"/>
      </w:pPr>
      <w:r>
        <w:t>3  不把两个模板可运行解释为任意场景泛化，不自动扩大公共API、持久化或收费模型授权。</w:t>
      </w:r>
    </w:p>
    <w:p>
      <w:pPr>
        <w:pStyle w:val="Heading2"/>
      </w:pPr>
      <w:r>
        <w:rPr>
          <w:color w:val="000000"/>
        </w:rPr>
        <w:t>七 交付与交接</w:t>
      </w:r>
    </w:p>
    <w:p>
      <w:pPr>
        <w:widowControl/>
        <w:ind w:left="198" w:hanging="198"/>
      </w:pPr>
      <w:r>
        <w:t>1  跳过时交付简明选择状态和S12输入索引；执行时交付S11完成报告及所选子项实际范围。</w:t>
      </w:r>
    </w:p>
    <w:p>
      <w:pPr>
        <w:widowControl/>
        <w:ind w:left="198" w:hanging="198"/>
      </w:pPr>
      <w:r>
        <w:t>2  提供草案合法非法样例或第二模板规划评价、原始结果和兼容证据，未选项明确标跳过。</w:t>
      </w:r>
    </w:p>
    <w:p>
      <w:pPr>
        <w:widowControl/>
        <w:ind w:left="198" w:hanging="198"/>
      </w:pPr>
      <w:r>
        <w:t>3  向S12交接既有实验材料和需复验项目，S12只综合复验与汇总，不作为Spark或AI首次质量验证阶段。</w:t>
      </w:r>
    </w:p>
    <w:p>
      <w:pPr>
        <w:pStyle w:val="Heading2"/>
      </w:pPr>
      <w:r>
        <w:rPr>
          <w:color w:val="000000"/>
        </w:rPr>
        <w:t>八 停止条件与回复格式</w:t>
      </w:r>
    </w:p>
    <w:p>
      <w:pPr>
        <w:widowControl/>
        <w:ind w:left="198" w:hanging="198"/>
      </w:pPr>
      <w:r>
        <w:t>1  完成本阶段验收后停止，下一阶段只交接。若已有能力符合验收就验证复用，不重复开发；发现外围问题只记录，不扩大范围。</w:t>
      </w:r>
    </w:p>
    <w:p>
      <w:pPr>
        <w:widowControl/>
        <w:ind w:left="198" w:hanging="198"/>
      </w:pPr>
      <w:r>
        <w:t>2  前置证据、必要授权或环境缺失时交付准确阻塞。原自动评审质量未通过作为历史限制保留，不再作为辅助建议工程的前置；当前工程仍须实证验收，不把文档、Fake或本人确认写成代码正确、教学认可或模型有效。</w:t>
      </w:r>
    </w:p>
    <w:p>
      <w:pPr>
        <w:widowControl/>
        <w:ind w:left="198" w:hanging="198"/>
      </w:pPr>
      <w:r>
        <w:t>3  回复依次包含阶段与状态、基线保护、实际修改、契约及授权依据、检查与原始结果、证据路径、未完成影响、清理恢复、下一阶段输入。</w:t>
      </w:r>
    </w:p>
    <w:p>
      <w:pPr>
        <w:widowControl/>
      </w:pPr>
      <w:r>
        <w:t>报告建议路径：开发相关文档/阶段报告/AI大数据改造/V2/S11-完成报告.md。没有用户下一阶段指令，不执行下一阶段。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S11 V2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ScholarHub  大数据主线与 AI 实践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293" w:lineRule="auto" w:after="100" w:before="0"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80" w:line="293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93" w:lineRule="auto" w:after="100" w:before="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S11 V2</dc:title>
  <dc:subject>数据科学与大数据技术专业阶段实施指令 V2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