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S12 综合验收与对照实验复验</w:t>
      </w:r>
    </w:p>
    <w:p>
      <w:pPr>
        <w:pStyle w:val="Subtitle"/>
        <w:widowControl/>
      </w:pPr>
      <w:r>
        <w:t>V2 20261025收口修订  工程与既有实验综合复验</w:t>
      </w:r>
    </w:p>
    <w:p>
      <w:pPr>
        <w:widowControl/>
      </w:pPr>
      <w:r>
        <w:t xml:space="preserve">用法  先读任务交接与20261021计划书，再发送“只执行本阶段，保护已有修改，更新交接后停止”。本包修订不等于阶段实施或新增授权。</w:t>
      </w:r>
    </w:p>
    <w:p>
      <w:pPr>
        <w:widowControl/>
      </w:pPr>
      <w:r>
        <w:t>20261025：S06完整通过；S08历史工程通过、自动评审质量未通过，已退出后续工程前置。当前辅助模式尚需实际适配，S09/S10未实施，S11跳过。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请只执行S12综合验收。按已实现的Spark分析、可恢复辅助实践及建议应用形成工程证据。封存原自动评审质量未通过，不再付费重评，不宣称可靠自动代码判分。</w:t>
      </w:r>
    </w:p>
    <w:p>
      <w:pPr>
        <w:widowControl/>
      </w:pPr>
      <w:r>
        <w:t>前置为所选S06、S08辅助工程、S09/S10的实际证据，S11跳过。旧AI质量不作工程前置；真实工程缺项单列，不追认完成。模型默认0，写库/清理另有本轮具体授权。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 xml:space="preserve">1  根目录为C:\Users\Administrator\Desktop\毕业设计\ScholarHub。先读开发相关文档/任务交接.md及开发相关文档/开发规划/20261021-大数据主线最小改动与AI实践衔接计划书.md，核对本阶段报告、当前Git和用户最新指令。每次只执行一个阶段，保护既有未提交工作；无源码访问先列缺少材料，不从S00重新初始化。</w:t>
      </w:r>
    </w:p>
    <w:p>
      <w:pPr>
        <w:widowControl/>
        <w:ind w:left="198" w:hanging="198"/>
      </w:pPr>
      <w:r>
        <w:t>2  遵守AGENTS.md、stop-that-shit和frontend-backend-code-standards；沿用Vue/TypeScript、FastAPI/SQLAlchemy/MySQL及现有Provider。未调整的数据/权限/版本规则沿用V2-S01-r2；S08完成含义与后续前置以20261025辅助建议收口补充为准，旧评分答案和阈值封存不改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 xml:space="preserve">7  中文日志沿用开发相关文档/开发日志/开发操作日志.md，报告放开发相关文档/阶段报告/AI大数据改造/V2。阶段结束、关键阻塞、换AI或准备压缩前先更新开发相关文档/任务交接.md：任务卡、已改文件、实际命令/证据、授权与消耗、缺口、恢复点和下一步。不得只留聊天纪要；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S01契约和评分表，S03固定数据与答案、S04正确性结果、S06初步规模/分析验证、S08模型评价、S10联合主线证据。</w:t>
      </w:r>
    </w:p>
    <w:p>
      <w:pPr>
        <w:widowControl/>
        <w:ind w:left="198" w:hanging="198"/>
      </w:pPr>
      <w:r>
        <w:t>2  所有已执行阶段报告、当前Git差异、现有CR9/Context/账号隔离/工作流并发/学习报告回归入口。S11若未选，不索要其实现报告。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建立证据矩阵：大数据、辅助工程、事件应用、历史自动评审、选做及旧功能分列版本与来源。旧质量保持未通过/已退出目标，不计入辅助工程门槛。</w:t>
      </w:r>
    </w:p>
    <w:p>
      <w:pPr>
        <w:widowControl/>
        <w:ind w:left="198" w:hanging="198"/>
      </w:pPr>
      <w:r>
        <w:t xml:space="preserve">2  复验固定快照/独立答案及受影响边界：NULL/0、UTC/DATE、199/200、取消分母、冲突、可信ACCEPT、修改删除和群组。沿ODS/Parquet/质量/发布/图表追溯，不重建来源。</w:t>
      </w:r>
    </w:p>
    <w:p>
      <w:pPr>
        <w:widowControl/>
        <w:ind w:left="198" w:hanging="198"/>
      </w:pPr>
      <w:r>
        <w:t xml:space="preserve">3  复用S06已有1万/10万冷/热原始实验，不自动重跑全部轮次。仅最终代码变更影响算法/输入或有明确复验任务时运行对应档；百万/集群未选不补做。十万Python参考按主体重复扫描全表、driver读JSON等限制保留，不推导Spark普遍加速或真实教学规模。</w:t>
      </w:r>
    </w:p>
    <w:p>
      <w:pPr>
        <w:widowControl/>
        <w:ind w:left="198" w:hanging="198"/>
      </w:pPr>
      <w:r>
        <w:t>4  只读封存Q01–Q16、响应/校准/费用与诊断，失败和未运行不改写。不重跑、换模型、借余量或追加对照；封存不表示质量通过，也不证明建议可靠。</w:t>
      </w:r>
    </w:p>
    <w:p>
      <w:pPr>
        <w:widowControl/>
        <w:ind w:left="198" w:hanging="198"/>
      </w:pPr>
      <w:r>
        <w:t>5  核对本人确认、输出核对、AI建议和教师来源。未执行代码或参与者实验，不报代码正确率、自动通过率或学习提升；建议质量保留为局限。</w:t>
      </w:r>
    </w:p>
    <w:p>
      <w:pPr>
        <w:widowControl/>
        <w:ind w:left="198" w:hanging="198"/>
      </w:pPr>
      <w:r>
        <w:t>6  按风险运行已有后端检查、前端类型/构建、隔离MySQL/真实API浏览器主线；验证失败发布、空批次鉴权、重复动作、版本冲突、旧结果、取消后迟到响应和旧画布/all/incomplete兼容，不新增框架或降低检查。</w:t>
      </w:r>
    </w:p>
    <w:p>
      <w:pPr>
        <w:widowControl/>
        <w:ind w:left="198" w:hanging="198"/>
      </w:pPr>
      <w:r>
        <w:t>7  演示业务→ODS→真实Spark→图表，以及提交→可选建议→本人结束或自选修改→恢复。S10已完成才演示事件/任务应用；真实与Fake分明，不新增收费调用。</w:t>
      </w:r>
    </w:p>
    <w:p>
      <w:pPr>
        <w:widowControl/>
        <w:ind w:left="198" w:hanging="198"/>
      </w:pPr>
      <w:r>
        <w:t xml:space="preserve">8  只有明确本轮目标/ID和删除授权时才清理隔离新增对象，核对剩余量；不自动清库、清历史完成批或重跑S06一次性创建脚本。S06记录ID8已删除但90分钟快照历史保留，不能为对齐当前源库覆盖旧结果。分别记录实际失败/清理/未运行，更新任务交接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至少一个分析专题有固定答案/方法说明、独立结果对照、图表来源和规模原始值。</w:t>
      </w:r>
    </w:p>
    <w:p>
      <w:pPr>
        <w:widowControl/>
        <w:ind w:left="198" w:hanging="198"/>
      </w:pPr>
      <w:r>
        <w:t>2  当前工程状态与历史自动评审质量分别准确；可按缩减范围完成综合工程验收，原质量未通过和选做未选择均不改写为通过。</w:t>
      </w:r>
    </w:p>
    <w:p>
      <w:pPr>
        <w:widowControl/>
        <w:ind w:left="198" w:hanging="198"/>
      </w:pPr>
      <w:r>
        <w:t>3  旧功能相关回归、批次一致性、授权和恢复证据完整；关键未验收项明确阻塞哪条结论。</w:t>
      </w:r>
    </w:p>
    <w:p>
      <w:pPr>
        <w:widowControl/>
        <w:ind w:left="198" w:hanging="198"/>
      </w:pPr>
      <w:r>
        <w:t>4  数据、评分、命令与版本可复现，不新增虚构成绩、提升百分比或清理成功记录。</w:t>
      </w:r>
    </w:p>
    <w:p>
      <w:pPr>
        <w:widowControl/>
      </w:pPr>
      <w:r>
        <w:t>阶段门槛：所选工程、实际Spark专题及兼容恢复有证据后交S13。旧AI质量退出目标，无需付费补考；S11未选不阻挡。真实工程缺项仍列明，不以文档代替实现。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不首次临时决定评价指标，不用业务库做测试库，不自动调用付费模型或招募用户。</w:t>
      </w:r>
    </w:p>
    <w:p>
      <w:pPr>
        <w:widowControl/>
        <w:ind w:left="198" w:hanging="198"/>
      </w:pPr>
      <w:r>
        <w:t>2  不以补第二模板挤占实验论文时间，不顺便部署生产或启动无限审计。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更新S12完成报告、当前工程验收矩阵、既有数据/性能结果索引及封存AI失败/费用索引；不生成新的模型成绩。</w:t>
      </w:r>
    </w:p>
    <w:p>
      <w:pPr>
        <w:widowControl/>
        <w:ind w:left="198" w:hanging="198"/>
      </w:pPr>
      <w:r>
        <w:t>2  交S13的主张证据表、正式范围、精确未完成项和演示所用批次。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 xml:space="preserve">1  完成指定阶段即停止；已有能力核验复用，不重复开发，不处理外围问题。</w:t>
      </w:r>
    </w:p>
    <w:p>
      <w:pPr>
        <w:widowControl/>
        <w:ind w:left="198" w:hanging="198"/>
      </w:pPr>
      <w:r>
        <w:t>2  缺实际工程证据/授权/环境时交准确缺口；旧自动评审质量未通过继续封存，不作新工程前置，不把本人确认写成代码正确。</w:t>
      </w:r>
    </w:p>
    <w:p>
      <w:pPr>
        <w:widowControl/>
        <w:ind w:left="198" w:hanging="198"/>
      </w:pPr>
      <w:r>
        <w:t xml:space="preserve">3  回复阶段状态、保护差异、实际改动/授权、命令/原始结果、证据、未完成、恢复及下一步；保存报告并更新任务交接。</w:t>
      </w:r>
    </w:p>
    <w:p>
      <w:pPr>
        <w:widowControl/>
      </w:pPr>
      <w:r>
        <w:t>报告建议路径：开发相关文档/阶段报告/AI大数据改造/V2/S12-完成报告.md。没有用户下一阶段指令，不执行下一阶段。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S12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S12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