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ScholarHub S13 论文答辩与最终交接</w:t>
      </w:r>
    </w:p>
    <w:p>
      <w:pPr>
        <w:pStyle w:val="Subtitle"/>
        <w:widowControl/>
      </w:pPr>
      <w:r>
        <w:t>V2 20261025收口修订  大数据主线与辅助实践交付</w:t>
      </w:r>
    </w:p>
    <w:p>
      <w:pPr>
        <w:widowControl/>
      </w:pPr>
      <w:r>
        <w:t xml:space="preserve">用法  先读任务交接与20261021计划书，再发送“只执行本阶段，保护已有修改，更新交接后停止”。本包修订不等于阶段实施或新增授权。</w:t>
      </w:r>
    </w:p>
    <w:p>
      <w:pPr>
        <w:widowControl/>
      </w:pPr>
      <w:r>
        <w:t>20261025收口：S06完整通过，S07工程通过；S08历史工程通过、自动评审质量未通过。用户已选择工程闭环＋AI辅助建议，停止收费重评；本版提示词不代表辅助模式已落地。S09/S10未实施，S11默认跳过。</w:t>
      </w:r>
    </w:p>
    <w:p>
      <w:pPr>
        <w:pStyle w:val="Heading1"/>
      </w:pPr>
      <w:r>
        <w:rPr>
          <w:color w:val="000000"/>
        </w:rPr>
        <w:t>可直接发送给 AI 的完整指令</w:t>
      </w:r>
    </w:p>
    <w:p>
      <w:pPr>
        <w:pStyle w:val="Heading2"/>
      </w:pPr>
      <w:r>
        <w:rPr>
          <w:color w:val="000000"/>
        </w:rPr>
        <w:t>一 当前任务与前置条件</w:t>
      </w:r>
    </w:p>
    <w:p>
      <w:pPr>
        <w:widowControl/>
      </w:pPr>
      <w:r>
        <w:t>请只执行 S13 论文答辩与最终交接。以真实Spark数据处理与分析为主线，辅助实践贡献限定为提交、建议、历史绑定、取消和恢复。论文不再宣称可靠自动代码判分、自动认定学生通过或学习能力提升。</w:t>
      </w:r>
    </w:p>
    <w:p>
      <w:pPr>
        <w:widowControl/>
      </w:pPr>
      <w:r>
        <w:t>前置为S12按缩减范围形成的工程证据矩阵；原自动评审质量未通过留在局限/实验记录，不要求重新收费评价。未完成工程继续列未完成；S11未选不纳入必需输入。</w:t>
      </w:r>
    </w:p>
    <w:p>
      <w:pPr>
        <w:pStyle w:val="Heading2"/>
      </w:pPr>
      <w:r>
        <w:rPr>
          <w:color w:val="000000"/>
        </w:rPr>
        <w:t>二 共同执行约束</w:t>
      </w:r>
    </w:p>
    <w:p>
      <w:pPr>
        <w:widowControl/>
        <w:ind w:left="198" w:hanging="198"/>
      </w:pPr>
      <w:r>
        <w:t xml:space="preserve">1  根目录为C:\Users\Administrator\Desktop\毕业设计\ScholarHub。先读开发相关文档/任务交接.md及开发相关文档/开发规划/20261021-大数据主线最小改动与AI实践衔接计划书.md，核对本阶段报告、当前Git和用户最新指令。每次只执行一个阶段，保护既有未提交工作；无源码访问先列缺少材料，不从S00重新初始化。</w:t>
      </w:r>
    </w:p>
    <w:p>
      <w:pPr>
        <w:widowControl/>
        <w:ind w:left="198" w:hanging="198"/>
      </w:pPr>
      <w:r>
        <w:t>2  遵守AGENTS.md、stop-that-shit和frontend-backend-code-standards；沿用Vue/TypeScript、FastAPI/SQLAlchemy/MySQL及现有Provider。未调整的数据/权限/版本规则沿用V2-S01-r2；S08完成含义与后续前置以20261025辅助建议收口补充为准，旧评分答案和阈值封存不改。</w:t>
      </w:r>
    </w:p>
    <w:p>
      <w:pPr>
        <w:widowControl/>
        <w:ind w:left="198" w:hanging="198"/>
      </w:pPr>
      <w:r>
        <w:t>3  新增依赖、公共API、持久化/迁移、兼容性与检查策略先给具体影响和方案，再按真实授权实施；S01已批准的同一范围不重复审批，新增范围不得自批。写库须确认本轮专用隔离目标及当前状态，不退回业务库或清空既有数据。</w:t>
      </w:r>
    </w:p>
    <w:p>
      <w:pPr>
        <w:widowControl/>
        <w:ind w:left="198" w:hanging="198"/>
      </w:pPr>
      <w:r>
        <w:t>4  真实收费模型先有模型、输入范围及调用/费用上限授权；安装、凭证和账户变更同样遵循明确授权。禁止输出.env、密钥、Token、密码或原始私人正文；Fake/Mock不代表真实模型质量。</w:t>
      </w:r>
    </w:p>
    <w:p>
      <w:pPr>
        <w:widowControl/>
        <w:ind w:left="198" w:hanging="198"/>
      </w:pPr>
      <w:r>
        <w:t>5  遵循Router→Service→Repository→Model，服务端核对身份、归属和版本。等待模型或学生不持数据库锁；学生代码仅静态评审。自测声明、输出值核对、AI建议和教师确认分别记录；普通图表GET不触发Spark或模型。</w:t>
      </w:r>
    </w:p>
    <w:p>
      <w:pPr>
        <w:widowControl/>
        <w:ind w:left="198" w:hanging="198"/>
      </w:pPr>
      <w:r>
        <w:t>6  运行与本阶段相关的既有检查，前端按项目命令做类型/构建，后端使用已确认backend/.venv和unittest入口。数据、API、MySQL、Mock、Spark、模型质量和清理证据分别报告，历史成绩不写成本轮通过。</w:t>
      </w:r>
    </w:p>
    <w:p>
      <w:pPr>
        <w:widowControl/>
        <w:ind w:left="198" w:hanging="198"/>
      </w:pPr>
      <w:r>
        <w:t xml:space="preserve">7  中文日志沿用开发相关文档/开发日志/开发操作日志.md，报告放开发相关文档/阶段报告/AI大数据改造/V2。阶段结束、关键阻塞、换AI或准备压缩前先更新开发相关文档/任务交接.md：任务卡、已改文件、实际命令/证据、授权与消耗、缺口、恢复点和下一步。不得只留聊天纪要；不自动提交、推送、发布或开始下一阶段。</w:t>
      </w:r>
    </w:p>
    <w:p>
      <w:pPr>
        <w:pStyle w:val="Heading2"/>
      </w:pPr>
      <w:r>
        <w:rPr>
          <w:color w:val="000000"/>
        </w:rPr>
        <w:t>三 必须读取的输入</w:t>
      </w:r>
    </w:p>
    <w:p>
      <w:pPr>
        <w:widowControl/>
        <w:ind w:left="198" w:hanging="198"/>
      </w:pPr>
      <w:r>
        <w:t>1  S00基线、S01范围和评价契约、已执行阶段报告、实际代码/迁移/API与S12原始实验。</w:t>
      </w:r>
    </w:p>
    <w:p>
      <w:pPr>
        <w:widowControl/>
        <w:ind w:left="198" w:hanging="198"/>
      </w:pPr>
      <w:r>
        <w:t>2  已有论文/说明位置、任务书中已经确认的要求、演示账号与数据说明（不含密码）、发布批次与模型评价结果。</w:t>
      </w:r>
    </w:p>
    <w:p>
      <w:pPr>
        <w:pStyle w:val="Heading2"/>
      </w:pPr>
      <w:r>
        <w:rPr>
          <w:color w:val="000000"/>
        </w:rPr>
        <w:t>四 本阶段实施步骤</w:t>
      </w:r>
    </w:p>
    <w:p>
      <w:pPr>
        <w:widowControl/>
        <w:ind w:left="198" w:hanging="198"/>
      </w:pPr>
      <w:r>
        <w:t>1  定稿题目、研究问题和范围。建议方向为基于Spark的学习过程数据分析与AI辅助实践；具体题名服从已确认任务书。说明业务角色、数据单位、核心分析问题和可检验结论。</w:t>
      </w:r>
    </w:p>
    <w:p>
      <w:pPr>
        <w:widowControl/>
        <w:ind w:left="198" w:hanging="198"/>
      </w:pPr>
      <w:r>
        <w:t>2  论文重点讲数据来源与质量、快照和分层建模、Spark清洗关联与聚合、专题分析方法、批次发布和实验结果；用真实代码与输出解释NULL/0、可信来源、群组分母和状态快照限制。</w:t>
      </w:r>
    </w:p>
    <w:p>
      <w:pPr>
        <w:widowControl/>
        <w:ind w:left="198" w:hanging="198"/>
      </w:pPr>
      <w:r>
        <w:t>3  AI部分只描述按需调用建议、确切提交绑定、可恢复过程及本人审阅；引用工程证据，并如实列出历史自动评审失败及已退出的研究目标。不把外部API叫自研模型、不把本人确认或贴出输出说成代码已执行/教师通过。</w:t>
      </w:r>
    </w:p>
    <w:p>
      <w:pPr>
        <w:widowControl/>
        <w:ind w:left="198" w:hanging="198"/>
      </w:pPr>
      <w:r>
        <w:t>4  按实际完成范围组织8至12分钟演示：业务来源→ODS质量/真实Spark→同批分析→辅助实践提交/历史/恢复，S10已完成才展示事件建议应用。耗时作业用真实已完成批次并标cutoff，不冒充实时、集群或可靠自动判分。</w:t>
      </w:r>
    </w:p>
    <w:p>
      <w:pPr>
        <w:widowControl/>
        <w:ind w:left="198" w:hanging="198"/>
      </w:pPr>
      <w:r>
        <w:t>5  每个专业贡献对应源码、数据、运行/截图和实验。报告同口径基线、规模选择理由、硬件参数与失败；真实案例和合成实验分开。选做模板未完成时不放在已实现清单。</w:t>
      </w:r>
    </w:p>
    <w:p>
      <w:pPr>
        <w:widowControl/>
        <w:ind w:left="198" w:hanging="198"/>
      </w:pPr>
      <w:r>
        <w:t xml:space="preserve">6  在现有开发相关文档/任务交接.md更新最终任务卡、运行/停止、Windows/WSL职责、迁移顺序、导出/计算/发布入口、固定批次和恢复点；不另建互相矛盾的最新交接。保留历史日期和失败，明确未运行/未选择，不保存凭证；S06当前来源与历史90分钟差异按原截止解释。</w:t>
      </w:r>
    </w:p>
    <w:p>
      <w:pPr>
        <w:widowControl/>
        <w:ind w:left="198" w:hanging="198"/>
      </w:pPr>
      <w:r>
        <w:t>7  按实际需要更新材料索引与论文提纲，生成文档需采用可用渲染链逐页检查。形成最终Git差异与交接清单，不追加外围功能或自动提交、推送、对外发布。</w:t>
      </w:r>
    </w:p>
    <w:p>
      <w:pPr>
        <w:pStyle w:val="Heading2"/>
      </w:pPr>
      <w:r>
        <w:rPr>
          <w:color w:val="000000"/>
        </w:rPr>
        <w:t>五 验收标准与证据</w:t>
      </w:r>
    </w:p>
    <w:p>
      <w:pPr>
        <w:widowControl/>
        <w:ind w:left="198" w:hanging="198"/>
      </w:pPr>
      <w:r>
        <w:t>1  大数据链、方法和实验有实际证据；AI贡献以可用辅助工程为限，原质量未通过与已退出目标明确，不追求包装为模型有效。</w:t>
      </w:r>
    </w:p>
    <w:p>
      <w:pPr>
        <w:widowControl/>
        <w:ind w:left="198" w:hanging="198"/>
      </w:pPr>
      <w:r>
        <w:t>2  演示按步骤可复现，批次时间、模型等待、人工确认和合成规模含义清楚。</w:t>
      </w:r>
    </w:p>
    <w:p>
      <w:pPr>
        <w:widowControl/>
        <w:ind w:left="198" w:hanging="198"/>
      </w:pPr>
      <w:r>
        <w:t>3  任务书对照、正文、API、图表口径、实验与实现清单一致，未完成和未选择项分开。</w:t>
      </w:r>
    </w:p>
    <w:p>
      <w:pPr>
        <w:widowControl/>
        <w:ind w:left="198" w:hanging="198"/>
      </w:pPr>
      <w:r>
        <w:t>4  维护交接与最终差异已复核，无凭证、虚构成绩或未经执行的成功记录。</w:t>
      </w:r>
    </w:p>
    <w:p>
      <w:pPr>
        <w:widowControl/>
      </w:pPr>
      <w:r>
        <w:t>阶段门槛：论文主张超出证据时先收窄表述；仍未完成的实现不得用文档包装为完成。到此结束本包。</w:t>
      </w:r>
    </w:p>
    <w:p>
      <w:pPr>
        <w:pStyle w:val="Heading2"/>
      </w:pPr>
      <w:r>
        <w:rPr>
          <w:color w:val="000000"/>
        </w:rPr>
        <w:t>六 明确不做的内容</w:t>
      </w:r>
    </w:p>
    <w:p>
      <w:pPr>
        <w:widowControl/>
        <w:ind w:left="198" w:hanging="198"/>
      </w:pPr>
      <w:r>
        <w:t>1  不把计划、环境安装、Mock或截图样例当作全部专业核心已经实现。</w:t>
      </w:r>
    </w:p>
    <w:p>
      <w:pPr>
        <w:widowControl/>
        <w:ind w:left="198" w:hanging="198"/>
      </w:pPr>
      <w:r>
        <w:t>2  不新增功能、补造实验、承诺真实学校应用效果或自动发布。</w:t>
      </w:r>
    </w:p>
    <w:p>
      <w:pPr>
        <w:pStyle w:val="Heading2"/>
      </w:pPr>
      <w:r>
        <w:rPr>
          <w:color w:val="000000"/>
        </w:rPr>
        <w:t>七 交付与交接</w:t>
      </w:r>
    </w:p>
    <w:p>
      <w:pPr>
        <w:widowControl/>
        <w:ind w:left="198" w:hanging="198"/>
      </w:pPr>
      <w:r>
        <w:t>1  S13-完成报告.md、最终证据索引、论文提纲、答辩脚本、任务书对照与维护交接。</w:t>
      </w:r>
    </w:p>
    <w:p>
      <w:pPr>
        <w:widowControl/>
        <w:ind w:left="198" w:hanging="198"/>
      </w:pPr>
      <w:r>
        <w:t>2  分别交付大数据核心、辅助实践工程、历史自动评审质量与未选功能的最终状态；用户无需补自动判分成绩才可按真实范围定稿。</w:t>
      </w:r>
    </w:p>
    <w:p>
      <w:pPr>
        <w:pStyle w:val="Heading2"/>
      </w:pPr>
      <w:r>
        <w:rPr>
          <w:color w:val="000000"/>
        </w:rPr>
        <w:t>八 停止条件与回复格式</w:t>
      </w:r>
    </w:p>
    <w:p>
      <w:pPr>
        <w:widowControl/>
        <w:ind w:left="198" w:hanging="198"/>
      </w:pPr>
      <w:r>
        <w:t>1  完成本阶段验收后停止，下一阶段只交接。若已有能力符合验收就验证复用，不重复开发；发现外围问题只记录，不扩大范围。</w:t>
      </w:r>
    </w:p>
    <w:p>
      <w:pPr>
        <w:widowControl/>
        <w:ind w:left="198" w:hanging="198"/>
      </w:pPr>
      <w:r>
        <w:t>2  前置证据、必要授权或环境缺失时交付准确阻塞。原自动评审质量未通过作为历史限制保留，不再作为辅助建议工程的前置；当前工程仍须实证验收，不把文档、Fake或本人确认写成代码正确、教学认可或模型有效。</w:t>
      </w:r>
    </w:p>
    <w:p>
      <w:pPr>
        <w:widowControl/>
        <w:ind w:left="198" w:hanging="198"/>
      </w:pPr>
      <w:r>
        <w:t>3  回复依次包含阶段与状态、基线保护、实际修改、契约及授权依据、检查与原始结果、证据路径、未完成影响、清理恢复、下一阶段输入。</w:t>
      </w:r>
    </w:p>
    <w:p>
      <w:pPr>
        <w:widowControl/>
      </w:pPr>
      <w:r>
        <w:t>报告建议路径：开发相关文档/阶段报告/AI大数据改造/V2/S13-完成报告.md。没有用户下一阶段指令，不执行下一阶段。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S13 V2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000000"/>
        <w:sz w:val="16"/>
      </w:rPr>
      <w:t>ScholarHub  大数据主线与 AI 实践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="293" w:lineRule="auto" w:after="100" w:before="0"/>
    </w:pPr>
    <w:rPr>
      <w:rFonts w:ascii="Microsoft YaHei" w:hAnsi="Microsoft YaHei" w:eastAsia="Microsoft YaHei" w:cs="Microsoft YaHei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00" w:line="293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80" w:line="293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293" w:lineRule="auto" w:after="100" w:before="0"/>
    </w:pPr>
    <w:rPr>
      <w:rFonts w:asciiTheme="majorHAnsi" w:eastAsiaTheme="majorEastAsia" w:hAnsiTheme="majorHAnsi" w:cstheme="majorBidi" w:ascii="Microsoft YaHei" w:hAnsi="Microsoft YaHei" w:eastAsia="Microsoft YaHei" w:cs="Microsoft YaHei"/>
      <w:b w:val="0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S13 V2</dc:title>
  <dc:subject>数据科学与大数据技术专业阶段实施指令 V2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