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80"/>
      </w:pPr>
      <w:r>
        <w:t xml:space="preserve">法律审查委托函</w:t>
      </w:r>
    </w:p>
    <w:p>
      <w:pPr>
        <w:widowControl/>
        <w:spacing w:after="90" w:line="300"/>
        <w:ind w:firstLine="440"/>
      </w:pPr>
      <w:r>
        <w:rPr>
          <w:rFonts w:ascii="Arial" w:eastAsia="宋体"/>
          <w:sz w:val="22"/>
          <w:szCs w:val="22"/>
        </w:rPr>
        <w:t xml:space="preserve">砺庭律师事务所：</w:t>
      </w:r>
    </w:p>
    <w:p>
      <w:pPr>
        <w:widowControl/>
        <w:spacing w:after="90" w:line="300"/>
        <w:ind w:firstLine="440"/>
      </w:pPr>
      <w:r>
        <w:rPr>
          <w:rFonts w:ascii="Arial" w:eastAsia="宋体"/>
          <w:sz w:val="22"/>
          <w:szCs w:val="22"/>
        </w:rPr>
        <w:t xml:space="preserve">我司关注广田集团普通债权的受让机会，目前尚未确定交易对手、债权范围和价格。投资管理部需要了解继续投入谈判及调查的条件，特请贵所提供受让前法律意见，供我司决定是否启动后续洽谈。</w:t>
      </w:r>
    </w:p>
    <w:p>
      <w:pPr>
        <w:widowControl/>
        <w:spacing w:after="90" w:line="300"/>
        <w:ind w:firstLine="440"/>
      </w:pPr>
      <w:r>
        <w:rPr>
          <w:rFonts w:ascii="Arial" w:eastAsia="宋体"/>
          <w:sz w:val="22"/>
          <w:szCs w:val="22"/>
        </w:rPr>
        <w:t xml:space="preserve">本次交付贵所的资料截止于2026年7月31日。请于2026年8月7日前将审查意见提交我司投资管理部。</w:t>
      </w:r>
    </w:p>
    <w:p>
      <w:pPr>
        <w:widowControl/>
        <w:spacing w:after="90" w:line="300"/>
        <w:ind w:firstLine="440"/>
      </w:pPr>
      <w:r>
        <w:rPr>
          <w:rFonts w:ascii="Arial" w:eastAsia="宋体"/>
          <w:sz w:val="22"/>
          <w:szCs w:val="22"/>
        </w:rPr>
        <w:t xml:space="preserve">我司主要关心拟买入权益能否顺利承接、可供清偿的资源及办理期限，以及在报价前需要交易对手补齐哪些证明。希望贵所结合我司作为潜在买方所能取得的资料，提出先行核实事项和办理次序。</w:t>
      </w:r>
    </w:p>
    <w:p>
      <w:pPr>
        <w:widowControl/>
        <w:spacing w:after="90" w:line="300"/>
        <w:ind w:firstLine="440"/>
      </w:pPr>
      <w:r>
        <w:rPr>
          <w:rFonts w:ascii="Arial" w:eastAsia="宋体"/>
          <w:sz w:val="22"/>
          <w:szCs w:val="22"/>
        </w:rPr>
        <w:t xml:space="preserve">岑晗资产管理有限公司</w:t>
      </w:r>
    </w:p>
    <w:p>
      <w:pPr>
        <w:widowControl/>
        <w:spacing w:after="90" w:line="300"/>
        <w:ind w:firstLine="440"/>
      </w:pPr>
      <w:r>
        <w:rPr>
          <w:rFonts w:ascii="Arial" w:eastAsia="宋体"/>
          <w:sz w:val="22"/>
          <w:szCs w:val="22"/>
        </w:rPr>
        <w:t xml:space="preserve">投资管理部</w:t>
      </w:r>
    </w:p>
    <w:p>
      <w:pPr>
        <w:widowControl/>
        <w:spacing w:after="90" w:line="300"/>
        <w:ind w:firstLine="440"/>
      </w:pPr>
      <w:r>
        <w:rPr>
          <w:rFonts w:ascii="Arial" w:eastAsia="宋体"/>
          <w:sz w:val="22"/>
          <w:szCs w:val="22"/>
        </w:rPr>
        <w:t xml:space="preserve">2026年8月1日</w:t>
      </w:r>
    </w:p>
    <w:sectPr>
      <w:footerReference w:type="default" r:id="rId6"/>
      <w:pgSz w:w="11906" w:h="16838" w:orient="portrait"/>
      <w:pgMar w:top="1300" w:right="1250" w:bottom="1200" w:left="135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宋体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jc w:val="center"/>
    </w:pPr>
    <w:rPr>
      <w:rFonts w:ascii="Arial" w:eastAsia="黑体"/>
      <w:b/>
      <w:bCs/>
      <w:sz w:val="34"/>
      <w:szCs w:val="34"/>
    </w:rPr>
  </w:style>
  <w:style w:type="paragraph" w:styleId="Heading1">
    <w:name w:val="Heading 1"/>
    <w:basedOn w:val="Normal"/>
    <w:next w:val="Normal"/>
    <w:qFormat/>
    <w:rPr>
      <w:rFonts w:ascii="Arial" w:eastAsia="黑体"/>
      <w:b/>
      <w:bCs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>
  <Pages>1</Pages>
  <Words>238</Words>
  <Characters>262</Characters>
  <CharactersWithSpaces>262</CharactersWithSpaces>
  <Lines>14</Lines>
  <Paragraphs>8</Paragraphs>
</Properties>
</file>

<file path=docProps/core.xml><?xml version="1.0" encoding="utf-8"?>
<cp:coreProperties xmlns:cp="http://schemas.openxmlformats.org/package/2006/metadata/core-properties" xmlns:dc="http://purl.org/dc/elements/1.1/">
  <dc:title>法律审查委托函</dc:title>
</cp:coreProperties>
</file>