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广田集团普通债权受让争点与条款适用底稿</w:t>
      </w:r>
    </w:p>
    <w:p>
      <w:r>
        <w:t>承办：砺庭律师事务所</w:t>
      </w:r>
    </w:p>
    <w:p>
      <w:r>
        <w:t>评估基准日：2026年7月31日</w:t>
      </w:r>
    </w:p>
    <w:p>
      <w:pPr>
        <w:pStyle w:val="Heading1"/>
      </w:pPr>
      <w:r>
        <w:rPr>
          <w:color w:val="000000"/>
          <w:u w:val="none"/>
        </w:rPr>
        <w:t>一、事实基础与意见范围</w:t>
      </w:r>
    </w:p>
    <w:p>
      <w:r>
        <w:t>据委托函，委托方拟研究广田集团普通债权受让机会，尚未确定交易对手、债权范围和价格，资料截止2026年7月31日。现有材料足以核定已批准计划、公开执行情况和清偿计算规则，不能直接证明某一待售债权的剩余量、处分权或办理条件。本底稿围绕买方需要取得的权利及付款依据审查，并以公开个案核对数量。</w:t>
      </w:r>
    </w:p>
    <w:p>
      <w:r>
        <w:t>企业破产法第九十二条规定经批准计划的约束力及未申报债权的行使方式；计划明确效力及于相关权利义务受让方和承继方。受让方不能按债权原面额要求恢复原合同全额现金清偿，也不能因计划中有综合100%清偿表述而认定现金回收100%。（企业重整法律及司法文件合订.pdf，PDF第11页；广田集团_重整计划_2023-11-29.pdf，PDF第21—22、36页）</w:t>
      </w:r>
    </w:p>
    <w:p>
      <w:pPr>
        <w:pStyle w:val="Heading1"/>
      </w:pPr>
      <w:r>
        <w:rPr>
          <w:color w:val="000000"/>
          <w:u w:val="none"/>
        </w:rPr>
        <w:t>二、原户分配与转让资源上限</w:t>
      </w:r>
    </w:p>
    <w:p>
      <w:r>
        <w:t>事实基础：普通债权以债权人为单位，8万元以内现金清偿，超过部分每100元对应6.535股和31.38份一般受益权；股数及份额小数按退一法处理。适用依据为计划七（六）及十四（五），后者限制转让后资源不超过转让前该笔债权按计划可得资源。审查意见：同一原户多笔或部分转让须先核其现金档及已受偿情况，不得按新受让人人数重算额度；不能只用买入面额套公式。（广田集团_重整计划_2023-11-29.pdf，PDF第21—22、43页）</w:t>
      </w:r>
    </w:p>
    <w:p>
      <w:r>
        <w:t>原户确认额D对应初始现金C0=min(D,80000)，超额E=max(D−C0,0)，股票S0=floor(E×6.535/100)，份额T0=floor(E×31.38/100)。剩余资源须扣历史已分配、已注销及已经转出等不在本次转让范围的部分。部分受让各项比例应以明确剩余量为分母，三类比例可不同，合计受原资源上限限制。整数尾差依约定和登记核明，不因各方重复取档、分别计算而扩张总额。工作簿先列初始规则，再列剩余量及协议比例，未知参数保持待核。</w:t>
      </w:r>
    </w:p>
    <w:p>
      <w:r>
        <w:t>双方应及时通知管理人转让信息和各主体的现金、股票、信托份额比例；买方须提供受领信息。通知到达前已分配的部分由转让双方协商或依法解决。只提交转让合同并不能证明通知前后资源归属、管理人重复分配义务或信托登记已经完成。付款条件应对接送达凭证、受领材料及办理反馈。（广田集团_重整计划_2023-11-29.pdf，PDF第39—43页）</w:t>
      </w:r>
    </w:p>
    <w:p>
      <w:pPr>
        <w:pStyle w:val="Heading1"/>
      </w:pPr>
      <w:r>
        <w:rPr>
          <w:color w:val="000000"/>
          <w:u w:val="none"/>
        </w:rPr>
        <w:t>三、信托权利的数量与现金流</w:t>
      </w:r>
    </w:p>
    <w:p>
      <w:r>
        <w:t>计划八（三）2所列一般受益权对应资产为非保留资产市场评估值5,633,262,345.54元，扣担保财产423,105,615.56元及劳务优先财产898,717,672.66元，得4,311,439,057.32元，设置4,311,439,057份一般受益权。普通债权人分配额仍以每百元31.38份确定，不能按全文中概括性的一元一份表述覆盖分配条款。该评估口径既非回款余额，也非买方可取得全部非保留资产的证明。（广田集团_重整计划_2023-11-29.pdf，PDF第22、25—26页）</w:t>
      </w:r>
    </w:p>
    <w:p>
      <w:r>
        <w:t>计划九（三）、（四）规定信托费用及净收益分配；处置与孳息收入扣信托费用、垫付费用及对第三人的负债后，按信托合同向受益人分配，受益人自行缴税。分配后对应份额注销。计划十四（一）3另规定，未签领受文本者的信托单位计入总份数，暂不享有表决权且不计入出席大会表决份额，收益分配时予以计提。审查意见：须取得受托人现时份额、计提和注销台账，不把未签领受等同于无权益，也不将初始份额与已实现分配重复计价。（广田集团_重整计划_2023-11-29.pdf，PDF第29—30、40页）</w:t>
      </w:r>
    </w:p>
    <w:p>
      <w:r>
        <w:t>担保及劳务相关预留普通资源尚受清偿选择约束。就未优先受偿部分先按普通方案受偿后，不得再就对应财产主张优先受偿；优先受益权已获得清偿时，其对应提存普通资源依计划另作处理。审查意见：受让所谓“预留股票”前须核实选择及已受偿记录，不能同时把同一基础的优先资源与普通资源计算为两次回收。（广田集团_重整计划_2023-11-29.pdf，PDF第40—42页）</w:t>
      </w:r>
    </w:p>
    <w:p>
      <w:pPr>
        <w:pStyle w:val="Heading1"/>
      </w:pPr>
      <w:r>
        <w:rPr>
          <w:color w:val="000000"/>
          <w:u w:val="none"/>
        </w:rPr>
        <w:t>四、分类、期限及主张事实</w:t>
      </w:r>
    </w:p>
    <w:p>
      <w:r>
        <w:t>已确认未领受类适用计划十四（二）3，起点为计划执行完毕，三年期限与“因债权人自身原因仍不领取”共同构成处理前提。监督报告以2023年12月20日为执行完毕事实截止，法院于22日确认，须核实具体起点；工作簿把2026年12月20日至22日作为待核期限范围，基准日尚未届满。日期计算不证明原因归属，亦不当然消灭原债权。（广田集团_重整计划_2023-11-29.pdf，PDF第41页；广田集团_执行与诉讼公告合订.pdf，PDF第1、5、10—12页）</w:t>
      </w:r>
    </w:p>
    <w:p>
      <w:r>
        <w:t>未申报股票及份额适用十四（二）5，从2023年7月20日受理起算，2026年7月20日期满，但还要求债权人届满仍未主张。诉讼、申报和主张记录必须核明，不能以曾未申报推断一直未主张。未申报现金在确认后由公司支付，未写相同三年期限；暂缓确认类依最终法院确认而领取，清偿后的余额另处理，不整体套用该期限。计划称未申报现金留于公司账户，监督报告称预留至管理人账户，应取得资金及办理主体确认，不能仅以文字不同认定未提存。（广田集团_重整计划_2023-11-29.pdf，PDF第22、41—42页；广田集团_程序公告合订.pdf，PDF第23页；广田集团_执行与诉讼公告合订.pdf，PDF第4—5页）</w:t>
      </w:r>
    </w:p>
    <w:p>
      <w:r>
        <w:t>企业破产法第九十二条第二款允许未申报者在计划执行完毕后按同类清偿条件行使权利。审查意见应同时考虑该依据、已批准计划约束和特定债权主张史，未取得管理人现行口径及必要法院文件前，对期限有疑问的资源暂缓确定付款范围，而不是直接宣布计划条款无效或债权全部消灭。（企业重整法律及司法文件合订.pdf，PDF第11页；广田集团_重整计划_2023-11-29.pdf，PDF第36、41—42页）</w:t>
      </w:r>
    </w:p>
    <w:p>
      <w:pPr>
        <w:pStyle w:val="Heading1"/>
      </w:pPr>
      <w:r>
        <w:rPr>
          <w:color w:val="000000"/>
          <w:u w:val="none"/>
        </w:rPr>
        <w:t>五、公开个案和账户数据的适用验证</w:t>
      </w:r>
    </w:p>
    <w:p>
      <w:r>
        <w:t>宝嘉公告记载2025年4月18日收到调解书，确认普通债权5,600.63万元。以该公告展示数作为同一原户唯一确认额，D=56,006,300元，现金80,000元，超额55,926,300元；股票未取整数3,654,783.705股，退一后3,654,783股；份额未取整数17,549,672.94份，退一后17,549,672份。结果未扣历史受偿，办理仍应以正式确认精确额和实际登记为准。该户确认时间早于2026年7月20日，不能仅因重整后确认而认作届满未主张；其原分类、出售意愿及剩余资源均未由此证明。（广田集团_执行与诉讼公告合订.pdf，PDF第20—21页；广田集团_重整计划_2023-11-29.pdf，PDF第21—22页；工作簿“核对测算”第47—53行）</w:t>
      </w:r>
    </w:p>
    <w:p>
      <w:r>
        <w:t>2023年末专户755,290,718股，2024年4月底526,158,146股，2024年末427,578,550股，2025年中418,125,703股，2025年末399,081,423股。连续期间净减少229,132,572股、98,579,596股、9,452,847股及19,044,280股。原抵债股票897,772,449股扣2025年末余额，得累计净划出498,691,026股，占55.55%。这不包含1,315,910,257股投资人股份，亦不直接证明特定债权人的实际受领。五类未划转原因只对应2024年4月底，后期应另取明细。（广田集团_2023年年度报告_2024-04-27.pdf，PDF第89页；广田集团_年报问询回复_2024-06-15.pdf，PDF第48—49页；广田集团_2024年年度报告_2025-04-22.pdf，PDF第67页；广田集团_2025年半年度报告_2025-08-22.pdf，PDF第35页；广田集团_2025年年度报告_2026-04-24.pdf，PDF第61页）</w:t>
      </w:r>
    </w:p>
    <w:p>
      <w:r>
        <w:t>每百元超额债权的名义折算为6.535×10.50+31.38=99.9975元，不是确定回收的现金。抵债股资本公积2,056,198,165.69元除897,772,449股，得到历史会计反推单价约2.29033333333元/股，展示2.2903元，不能用作本次现价或报价。买方须以尚可交割的三类资源、各自净回收现值和其他成本形成条件对价边界；现有资料缺这些交易参数，工作簿不输出确定报价。（广田集团_重整计划_2023-11-29.pdf，PDF第21—22页；广田集团_年报问询回复_2024-06-15.pdf，PDF第44页；广田集团_会计师问询回复_2024-06-15.pdf，PDF第25页）</w:t>
      </w:r>
    </w:p>
    <w:p>
      <w:pPr>
        <w:pStyle w:val="Heading1"/>
      </w:pPr>
      <w:r>
        <w:rPr>
          <w:color w:val="000000"/>
          <w:u w:val="none"/>
        </w:rPr>
        <w:t>六、程序资料与规则覆盖</w:t>
      </w:r>
    </w:p>
    <w:p>
      <w:r>
        <w:t>预重整延续的申报、评估成果，与支持意见继续有效的前提应分开。深圳工作指引第三十四条对有修改情形要求未实质影响利益且相关权利人同意不再表决，空白申报表未完整写出后一条件；受理公告中的多数支持只说明当时可行性，正式会议公告另记实际投票。拟受让债权是否列入正式确认或表决，仍须取得对应记录。（企业重整法律及司法文件合订.pdf，PDF第31—32页；广田集团_程序公告合订.pdf，PDF第15、25—26、31页）</w:t>
      </w:r>
    </w:p>
    <w:p>
      <w:r>
        <w:t>草案与正式计划均列确认债权12,395,676,971.17元，正式文本落款不表示全部数据已更新；监督报告截至11月28日确认12,540,807,331.17元，增加145,130,360.00元，暂缓金额减少267,855,211.26元。会议另有分组认定额，不能把统计增加额直接归到某笔待售债权。原计划表决口径亦需用当次会议认定及到会数据，不以旧计划汇总数替代。（广田集团_重整计划草案_2023-11-11.pdf、广田集团_重整计划_2023-11-29.pdf，PDF第12、16—17页；广田集团_程序公告合订.pdf，PDF第31页；广田集团_执行与诉讼公告合订.pdf，PDF第4—5页）</w:t>
      </w:r>
    </w:p>
    <w:p>
      <w:r>
        <w:t>草案受益人文字为每1元债权对应1份受益权，正式计划改为每1份对应清偿1元债权，但普通债权每百元31.38份分配条款未变。2023年披露适用2022版第14号指引第四十三条，其差异说明义务并无“重大”前提。现有批准公告及正式计划未见专门说明，应取得会议留存稿和披露说明。只能据现有资料指出说明缺口，不能进一步断言法院批准无效。（广田集团_重整计划草案_2023-11-11.pdf、广田集团_重整计划_2023-11-29.pdf，PDF第22、26页；广田集团_程序公告合订.pdf，PDF第34—35页；上市公司重整交易所规则合订.pdf，PDF第17—18页）</w:t>
      </w:r>
    </w:p>
    <w:p>
      <w:r>
        <w:t>2022版指引于2022年3月31日发布施行，2025年3月14日新版本发布时旧版废止；基准日后续办理依现行规则，历史评价仍用行为时规则。2022版第二十八条调整重整投资人股份受让价格，不是普通债权转让对价标准。2024年纪要第十五项有关以股抵债公允性、第二十四项有关执行完毕标准均晚于2023年事项，不能仅凭后规倒推原计划违法。（上市公司重整交易所规则合订.pdf，PDF第1、11、23页；企业重整法律及司法文件合订.pdf，PDF第68—69页）</w:t>
      </w:r>
    </w:p>
    <w:p>
      <w:pPr>
        <w:pStyle w:val="Heading1"/>
      </w:pPr>
      <w:r>
        <w:rPr>
          <w:color w:val="000000"/>
          <w:u w:val="none"/>
        </w:rPr>
        <w:t>七、投资履行、执行确认及会计说明</w:t>
      </w:r>
    </w:p>
    <w:p>
      <w:r>
        <w:t>投资正式安排中的中原额度为152,698,537股，后续中原122,698,537股加华融30,000,000股等于原额度，计划容许财务投资人或指定主体受让。数量只支持原额度内安排的解释，还需指定文件。深圳工作指引第一百一十二至一百一十五条调整计划变更程序，不能在未识别原约定范围前，以新增主体人数直接断定未经变更。（广田集团_重整计划_2023-11-29.pdf，PDF第15页；广田集团_投资公告及核查意见合订.pdf，PDF第21页；广田集团_年报问询回复_2024-06-15.pdf，PDF第54页；企业重整法律及司法文件合订.pdf，PDF第53—54页）</w:t>
      </w:r>
    </w:p>
    <w:p>
      <w:r>
        <w:t>计划执行标准认可签订信托合同、现金支付或提存、股票提存等；信托成立又要求协议生效、股权登记、信托登记及合同生效等。公司12月19日签信托合同，法院12月22日确认执行完毕，信托12月26日成立，不能只据时间先后否定执行确认。特区建工尾款30%与资产交割条件的衔接可补取成就或豁免证明，但公开材料未给出否定全部投资款到账的基础。（广田集团_重整计划_2023-11-29.pdf，PDF第26—27、37页；广田集团_执行与诉讼公告合订.pdf，PDF第2—3、10—12页；广田集团_年报问询回复_2024-06-15.pdf，PDF第46—47页；广田集团_投资公告及核查意见合订.pdf，PDF第12页）</w:t>
      </w:r>
    </w:p>
    <w:p>
      <w:r>
        <w:t>非标事项消除专项说明的扫描签章页记载2024年4月25日，文件披露日为4月27日。其说明对象是原审计非标事项消除，不是单独为某户债权出具领受证明。会计师问询所述负债终止确认和已履行偿债义务结合现金提存、股票登记使用，不足以证明所有债权人已经实际领受。后续专户仍有余额，与计划认可提存并不矛盾，应当继续查单户履历。（广田集团_非标意见消除专项说明_2024-04-27.pdf，PDF第3—4页；广田集团_会计师问询回复_2024-06-15.pdf，PDF第25—26页；广田集团_年报问询回复_2024-06-15.pdf，PDF第47、49页）</w:t>
      </w:r>
    </w:p>
    <w:p>
      <w:pPr>
        <w:pStyle w:val="Heading1"/>
      </w:pPr>
      <w:r>
        <w:rPr>
          <w:color w:val="000000"/>
          <w:u w:val="none"/>
        </w:rPr>
        <w:t>八、应落实的交易控制</w:t>
      </w:r>
    </w:p>
    <w:p>
      <w:r>
        <w:t>目标债权的确认、受偿及资源保留资料应由转让方先行提供，管理人和受托人就各自办理范围核实。建议将确认资料完整、三类剩余权益一致、主张和领取前提满足、通知与受领手续可办理，设置为相应资源的报价及付款条件；对无法核明的部分不付款。合同应约定权益不足时的数量及价格调整、办理失败时的拒付或退出，以及已付款返还和可实现的保障。取证优先次序与交易限制详见补充取证清单，工作簿同步列示。</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icrosoft YaHei" w:hAnsi="Microsoft YaHei" w:eastAsia="微软雅黑"/>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00" w:lineRule="auto"/>
      <w:outlineLvl w:val="0"/>
    </w:pPr>
    <w:rPr>
      <w:rFonts w:asciiTheme="majorHAnsi" w:eastAsiaTheme="majorEastAsia" w:hAnsiTheme="majorHAnsi" w:cstheme="majorBidi" w:ascii="Microsoft YaHei" w:hAnsi="Microsoft YaHei" w:eastAsia="微软雅黑"/>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Microsoft YaHei" w:hAnsi="Microsoft YaHei" w:eastAsia="微软雅黑"/>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1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1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1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1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1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300" w:lineRule="auto"/>
      <w:contextualSpacing/>
    </w:pPr>
    <w:rPr>
      <w:rFonts w:asciiTheme="majorHAnsi" w:eastAsiaTheme="majorEastAsia" w:hAnsiTheme="majorHAnsi" w:cstheme="majorBidi" w:ascii="Microsoft YaHei" w:hAnsi="Microsoft YaHei" w:eastAsia="微软雅黑"/>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Microsoft YaHei" w:hAnsi="Microsoft YaHei" w:eastAsia="微软雅黑"/>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5614</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dc:title>广田集团普通债权受让争点与条款适用底稿</dc:title>
  <dc:subject/>
  <cp:category/>
</cp:coreProperties>
</file>