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债权受让法律备忘录</w:t>
      </w:r>
    </w:p>
    <w:p>
      <w:r>
        <w:t>致：岑晗资产管理有限公司投资管理部</w:t>
      </w:r>
    </w:p>
    <w:p>
      <w:r>
        <w:t>发自：砺庭律师事务所承办律师</w:t>
      </w:r>
    </w:p>
    <w:p>
      <w:r>
        <w:t>日期：2026年8月7日</w:t>
      </w:r>
    </w:p>
    <w:p>
      <w:r>
        <w:t>事由：广田集团普通债权受让范围、对价边界与交割条件</w:t>
      </w:r>
    </w:p>
    <w:p>
      <w:pPr>
        <w:pStyle w:val="Heading1"/>
      </w:pPr>
      <w:r>
        <w:rPr>
          <w:color w:val="000000"/>
          <w:u w:val="none"/>
        </w:rPr>
        <w:t>一、决策意见</w:t>
      </w:r>
    </w:p>
    <w:p>
      <w:r>
        <w:t>据委托函，贵司尚未选定交易对手、债权范围及价格。本次可继续进行附条件资料洽谈，优先接触能够提供原债权确认、完整领受记录和当前办理反馈的权利人。现阶段不宜给出确定收购价或作不可撤回付款承诺。重整获批准、法院确认执行完毕和专户仍有股票，各自支持程序及总体履行事实，均不能代替目标债权的剩余权益证明。</w:t>
      </w:r>
    </w:p>
    <w:p>
      <w:r>
        <w:t>进入报价阶段，应至少核明原债权人身份及同一原户确认范围、三类清偿资源已经分配或注销的数量、拟转让范围及比例，并取得相关资源仍可办理的书面反馈。付款阶段还须具备可交付的权利清单、通知及领受文件、交易对手能够履行的保障措施。对期限争议、分类未定或资源无法对应的部分，建议先从可付款范围中剔除；如拟以附条件价格继续谈判，应约定条件不成就时不支付相应价款。上述为建议，并非管理人、受托人或交易对手已经接受的承诺。</w:t>
      </w:r>
    </w:p>
    <w:p>
      <w:pPr>
        <w:pStyle w:val="Heading1"/>
      </w:pPr>
      <w:r>
        <w:rPr>
          <w:color w:val="000000"/>
          <w:u w:val="none"/>
        </w:rPr>
        <w:t>二、买入的是剩余清偿权益</w:t>
      </w:r>
    </w:p>
    <w:p>
      <w:r>
        <w:t>普通债权按原债权人为单位适用现金档：同一原户8万元以内现金清偿，超出部分每100元对应6.535股股票和31.38份一般受益权，股票及份额采用退一法。重整受理后转让的债权，转让后可得资源以转让前该笔债权按计划可得者为限。将一户债权拆成数笔或转给多个主体，不会产生新的现金档。整笔受让也只能承接经核实尚属转让范围的权益，不能再要求公司补发已分配资源。（广田集团_重整计划_2023-11-29.pdf，PDF第21—22、43页）</w:t>
      </w:r>
    </w:p>
    <w:p>
      <w:r>
        <w:t>部分受让应在协议中分别列明现金、股票和信托份额的分配数量或比例及其分母；三类比例不当然等于受让债权面额比例。各主体合计不得超过原户可转让剩余资源，取整尾差应由协议和办理登记落实。双方须将转让及分配比例及时通知管理人，受让方提供受领信息。通知到达前已经分配的资源由双方协商或依法解决，不能以通知倒推管理人负有再次分配义务。建议将送达回执和办理资料被接收的证明列为相应付款条件。（广田集团_重整计划_2023-11-29.pdf，PDF第39—43页）</w:t>
      </w:r>
    </w:p>
    <w:p>
      <w:r>
        <w:t>信托权益须特别核明领受及注销状态。尚未签领受文本的信托单位仍计入总份数，暂不享有表决权，利益由受托人计提；不能据此认定为零价值，也不能认为买方已取得完整治理权。债权人获得分配后，对应信托份额注销，初始确认书不能单独证明现有剩余份额。应取得受托人的登记、计提、分配和注销记录，再确定转让清单。（广田集团_重整计划_2023-11-29.pdf，PDF第26、30、40页）</w:t>
      </w:r>
    </w:p>
    <w:p>
      <w:pPr>
        <w:pStyle w:val="Heading1"/>
      </w:pPr>
      <w:r>
        <w:rPr>
          <w:color w:val="000000"/>
          <w:u w:val="none"/>
        </w:rPr>
        <w:t>三、不同类别的办理条件</w:t>
      </w:r>
    </w:p>
    <w:p>
      <w:r>
        <w:t>已获法院确认而未领受的现金、股票和份额，自计划执行完毕起满三年且因债权人自身原因仍不领取，才进入计划所列处理安排。监督报告记载截至2023年12月20日已执行完毕，法院于12月22日作确认。办理时应核明具体起算依据，按2026年12月20日至22日管理到期风险，并优先在较早日期前完成领取；2026年7月31日尚未满三年。余额存在不证明未领原因为债权人自身原因，亦不证明管理人已完成通知义务。（广田集团_重整计划_2023-11-29.pdf，PDF第41页；广田集团_执行与诉讼公告合订.pdf，PDF第1、5、10—12页）</w:t>
      </w:r>
    </w:p>
    <w:p>
      <w:r>
        <w:t>未申报类股票及信托份额从受理重整的2023年7月20日起算，2026年7月20日文本期间已过，但条款同时要求届满时仍未主张债权。应审查此前的申报、诉讼、主张及受理记录，不能把曾经未申报的全部债权归为失权。未申报现金经确认后支付，计划未对该项写同样三年条款；暂缓确认类以最终确认金额受偿，也不能直接套用未申报股票及份额的期限。现金预留在计划中记为公司账户，监督报告记为管理人账户，办理主体和资金所在须取得共同确认。（广田集团_重整计划_2023-11-29.pdf，PDF第22、41—42页；广田集团_程序公告合订.pdf，PDF第23页；广田集团_执行与诉讼公告合订.pdf，PDF第4—5页）</w:t>
      </w:r>
    </w:p>
    <w:p>
      <w:r>
        <w:t>《企业破产法》第九十二条保留未申报债权在执行完毕后按同类条件行权的路径。计划三年条款、主张事实与法定行权之间仍须就特定债权取得管理人现行办理意见及必要法院文件。本意见不据文本期间届满认定债权全部消灭，也不径认已批准计划无效。暂缓确认或需要期限解释的权益，在书面依据齐备前不得作为确定可交割资源付款。（企业重整法律及司法文件合订.pdf，PDF第11页；广田集团_重整计划_2023-11-29.pdf，PDF第36、41—42页）</w:t>
      </w:r>
    </w:p>
    <w:p>
      <w:r>
        <w:t>专户中为担保、劳务债权转普通预留的股票不是随时可出售的普通权益。这两类可就尚未优先受偿部分选择按普通方案受偿，受偿后不能再要求就相应担保财产或应收账款优先受偿；已优先清偿对应的预留普通资源另按计划处理。应核明选择记录、优先受偿数、对应普通资源保留与释放情况，防止把优先受益权与同一基础的普通清偿资源双重计价。（广田集团_重整计划_2023-11-29.pdf，PDF第40—42页；广田集团_年报问询回复_2024-06-15.pdf，PDF第49页）</w:t>
      </w:r>
    </w:p>
    <w:p>
      <w:pPr>
        <w:pStyle w:val="Heading1"/>
      </w:pPr>
      <w:r>
        <w:rPr>
          <w:color w:val="000000"/>
          <w:u w:val="none"/>
        </w:rPr>
        <w:t>四、资源测算及对价边界</w:t>
      </w:r>
    </w:p>
    <w:p>
      <w:r>
        <w:t>宝嘉公告的调解确认额为5,600.63万元。仅在该金额为同一原户唯一适用债权金额的前提下，以公告展示数测得现金80,000元、超额债权55,926,300元、股票3,654,783股和一般受益权17,549,672份，未扣历史受偿。该户2025年4月已获调解确认，早于上述未申报类文本期间届满，不能仅以“重整后确认”视为三年期满未主张者；公告不能证明它的原分类、已领数量或出售意愿。该核算仅用于检验计划分配的量级，不构成对宝嘉权益的报价。（广田集团_执行与诉讼公告合订.pdf，PDF第20—21页；广田集团_重整计划_2023-11-29.pdf，PDF第21—22页；工作簿“核对测算”）</w:t>
      </w:r>
    </w:p>
    <w:p>
      <w:r>
        <w:t>2025年末专户399,081,423股，与抵债股总量897,772,449股相比，累计划出498,691,026股、约55.55%。从2023年末至2025年末各报告期余额持续减少，但公开资料不能直接确定2026年7月31日余额。2024年4月底的五类保留原因合计526,158,146股，不能直接平移到2025年末。买方需要逐户核实可领资源，而不是按专户余额占比分摊购买。（广田集团_2023年年度报告_2024-04-27.pdf，PDF第89页；广田集团_2024年年度报告_2025-04-22.pdf，PDF第67页；广田集团_2025年半年度报告_2025-08-22.pdf，PDF第35页；广田集团_2025年年度报告_2026-04-24.pdf，PDF第61页；广田集团_年报问询回复_2024-06-15.pdf，PDF第48—49页）</w:t>
      </w:r>
    </w:p>
    <w:p>
      <w:r>
        <w:t>计划每百元超额债权以6.535股乘10.50元，加31.38份按每份一元评估口径，名义折合99.9975元。名义综合清偿率并非现金回收承诺。抵债股会计金额2,056,198,165.69元除897,772,449股反推约2.29033333333元/股，原披露单价展示为2.2903元；这属于历史会计口径，不能作为基准日股价或本次买入价。工作簿保留精确金额和展示单价的不同计算口径。（广田集团_重整计划_2023-11-29.pdf，PDF第21—22页；广田集团_年报问询回复_2024-06-15.pdf，PDF第44页；广田集团_会计师问询回复_2024-06-15.pdf，PDF第25页）</w:t>
      </w:r>
    </w:p>
    <w:p>
      <w:r>
        <w:t>非保留资产评估值5,633,262,345.54元扣担保财产423,105,615.56元及劳务优先财产898,717,672.66元，为4,311,439,057.32元，对应4,311,439,057份一般受益权。该数是设立时评估口径，不能再把已扣优先财产全部计入一般受益人的回收。信托实际分配来自处置及孳息收入，需扣信托费用、垫付费用及相关第三人负债，受益人另自行承担税费；份额面值不等于净回款。（广田集团_重整计划_2023-11-29.pdf，PDF第25、29—30页；工作簿“信托资源边界”）</w:t>
      </w:r>
    </w:p>
    <w:p>
      <w:r>
        <w:t>后续单笔交易可先核原户初始资源，再扣已分配、已注销及已转出部分，按协议确定买方取得的现金C、股票S及信托份额T。若现金净回收折现系数为kC、每股净处置回款现值为pS、每份剩余信托净回款现值为pT、买方其他成本及风险准备为K，则给定参数下不亏损口径的对价应不高于C×kC＋S×pS＋T×pT－K。净回收参数与K须避免重复扣费，不能将未知值当零。工作簿“受让与对价边界”保留参数待核，当前不输出确定报价；只有权利及办理状态和回收参数均有证据时才能用于条件测算。</w:t>
      </w:r>
    </w:p>
    <w:p>
      <w:pPr>
        <w:pStyle w:val="Heading1"/>
      </w:pPr>
      <w:r>
        <w:rPr>
          <w:color w:val="000000"/>
          <w:u w:val="none"/>
        </w:rPr>
        <w:t>五、程序和会计材料的依赖边界</w:t>
      </w:r>
    </w:p>
    <w:p>
      <w:r>
        <w:t>已批准的计划约束受让方，程序文件为继续核查提供基础。预重整中的申报、评估延续与支持意见的承继条件不是同一事项；正式会议、计划文本及债权确认记录仍须分别保留。草案与批准文本的受益权文字有调整，具体清偿仍受普通债权每百元31.38份的分配条款约束。现有公开批准披露对调整原因的说明不足，宜取得留存文本和说明，不据此直接推断计划无效。正式计划沿用草案债权数字，监督报告截至11月28日确认总额比计划增加145,130,360.00元，汇总差额不能证明拟买债权已被确认。（广田集团_重整计划草案_2023-11-11.pdf及广田集团_重整计划_2023-11-29.pdf，PDF第12、22、26页；广田集团_程序公告合订.pdf，PDF第15、25—26、31、34—35页；广田集团_执行与诉讼公告合订.pdf，PDF第4页；企业重整法律及司法文件合订.pdf，PDF第31—32页；上市公司重整交易所规则合订.pdf，PDF第17—18页）</w:t>
      </w:r>
    </w:p>
    <w:p>
      <w:r>
        <w:t>中原122,698,537股与华融30,000,000股合计仍为中原原额度152,698,537股，数量上支持核查原约定指定安排，不能仅以受让人数增加认定计划变更，也不能只凭相加相等认定指定关系已经查实。信托合同签署、信托成立与法院执行确认各有条件，12月19日签约、12月22日确认执行完毕和12月26日成立的先后，不足以自动否定执行确认。（广田集团_年报问询回复_2024-06-15.pdf，PDF第46—47、54页；广田集团_投资公告及核查意见合订.pdf，PDF第21页；广田集团_重整计划_2023-11-29.pdf，PDF第15、26—27、37页；广田集团_执行与诉讼公告合订.pdf，PDF第10—12页）</w:t>
      </w:r>
    </w:p>
    <w:p>
      <w:r>
        <w:t>非标事项消除专项说明签章日期为2024年4月25日，披露日期为4月27日。说明与会计师问询中的负债终止确认、已履行偿债义务，应结合现金提存和股份登记的会计基础理解，不能扩张为某户已经领取全部资源。对2023年程序及披露，应使用当时的规则；后出的2024年纪要和2025年交易所指引不能直接倒推历史违法，投资人股份受让价格规则也不是本次普通债权报价公式。（广田集团_非标意见消除专项说明_2024-04-27.pdf，PDF第3—4页；广田集团_会计师问询回复_2024-06-15.pdf，PDF第25—26页；上市公司重整交易所规则合订.pdf，PDF第1、11、23页；企业重整法律及司法文件合订.pdf，PDF第68—69页）</w:t>
      </w:r>
    </w:p>
    <w:p>
      <w:pPr>
        <w:pStyle w:val="Heading1"/>
      </w:pPr>
      <w:r>
        <w:rPr>
          <w:color w:val="000000"/>
          <w:u w:val="none"/>
        </w:rPr>
        <w:t>六、建议的交割安排</w:t>
      </w:r>
    </w:p>
    <w:p>
      <w:r>
        <w:t>建议先由交易对手提交逐户权利清单，逐项列明确认额、初始分配、已领受及注销、拟转让三类资源和剩余权属，并承诺不存在未披露转让或重复处分。对管理人、受托人能够核实的部分取得直接反馈及办理清单；不能以转让方单方陈述替代可取得的登记证据。付款与可办理的权益范围对应，对争议或无法确认部分设置暂缓支付。</w:t>
      </w:r>
    </w:p>
    <w:p>
      <w:r>
        <w:t>建议约定付款前完成通知送达、买方受领资料、信托文本及约定登记文件的提交；按办理安排确定同步或分期交割。若核实资源少于清单，应按事先约定的各类资源单价或比例减少价款；无法办理核心权益且未在约定期限补正时，买方可拒绝未付款项并依约退出，对已付款部分约定返还期限及保障。通知前已分配部分须单独约定归属与交付，不能混入管理人尚待分配的资源清单。具体交易对手和可执行担保尚未确定，不宜宣称单靠赔偿条款即可消除不能受领的风险。</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icrosoft YaHei" w:hAnsi="Microsoft YaHei" w:eastAsia="微软雅黑"/>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00" w:lineRule="auto"/>
      <w:outlineLvl w:val="0"/>
    </w:pPr>
    <w:rPr>
      <w:rFonts w:asciiTheme="majorHAnsi" w:eastAsiaTheme="majorEastAsia" w:hAnsiTheme="majorHAnsi" w:cstheme="majorBidi" w:ascii="Microsoft YaHei" w:hAnsi="Microsoft YaHei" w:eastAsia="微软雅黑"/>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Microsoft YaHei" w:hAnsi="Microsoft YaHei" w:eastAsia="微软雅黑"/>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1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1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1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1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1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300" w:lineRule="auto"/>
      <w:contextualSpacing/>
    </w:pPr>
    <w:rPr>
      <w:rFonts w:asciiTheme="majorHAnsi" w:eastAsiaTheme="majorEastAsia" w:hAnsiTheme="majorHAnsi" w:cstheme="majorBidi" w:ascii="Microsoft YaHei" w:hAnsi="Microsoft YaHei" w:eastAsia="微软雅黑"/>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Microsoft YaHei" w:hAnsi="Microsoft YaHei" w:eastAsia="微软雅黑"/>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4975</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dc:title>债权受让法律备忘录</dc:title>
  <dc:subject/>
  <cp:category/>
</cp:coreProperties>
</file>