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u w:val="none"/>
        </w:rPr>
        <w:t>普通债权受让补充取证清单</w:t>
      </w:r>
    </w:p>
    <w:p>
      <w:r>
        <w:t>致：岑晗资产管理有限公司投资管理部</w:t>
      </w:r>
    </w:p>
    <w:p>
      <w:r>
        <w:t>日期：2026年8月7日</w:t>
      </w:r>
    </w:p>
    <w:p>
      <w:pPr>
        <w:pStyle w:val="Heading1"/>
      </w:pPr>
      <w:r>
        <w:rPr>
          <w:color w:val="000000"/>
          <w:u w:val="none"/>
        </w:rPr>
        <w:t>一、报价前优先取得：原户权利和处分范围</w:t>
      </w:r>
    </w:p>
    <w:p>
      <w:r>
        <w:t>拟提供主体：拟转让方提供原始合同、结算或其他权利形成文件、债权申报材料、管理人审查及法院确认文书，并提供既往转让、质押、冻结、争议材料；对需直接核实的事项由其配合管理人、法院等确认。用途：确定同一原债权人的确认范围、金额、性质及可处分部分，防止按新受让人数重复计算现金档。取得前限制：不以申报额、起诉额、公开汇总数或转让方口头陈述确定单笔报价。</w:t>
      </w:r>
    </w:p>
    <w:p>
      <w:r>
        <w:t>办理依据：计划明确债权金额与性质最终以法院确认为准，暂缓类依最终确认清偿；转让资源有原笔上限。宝嘉公开个案只作量级校验，不替代本次目标户文件。（广田集团_重整计划_2023-11-29.pdf，PDF第12、22、41、43页；广田集团_执行与诉讼公告合订.pdf，PDF第20—21页）</w:t>
      </w:r>
    </w:p>
    <w:p>
      <w:pPr>
        <w:pStyle w:val="Heading1"/>
      </w:pPr>
      <w:r>
        <w:rPr>
          <w:color w:val="000000"/>
          <w:u w:val="none"/>
        </w:rPr>
        <w:t>二、报价前优先取得：三类资源的完整履历</w:t>
      </w:r>
    </w:p>
    <w:p>
      <w:r>
        <w:t>拟提供主体：转让方提供银行流水、股份登记和领受文件，管理人核实初始分配、历次划转及当前保留明细，受托人提供信托份额确认、计提收益、分配、注销及转出记录。用途：区分已领取、已分配但通知在后、仍提存和已经注销的权益，并形成现金、股票、信托三项剩余清单。取得前限制：未知不按零受偿处理，不将初始资源全部计为可买资源，不按专户总余额向某户分摊。</w:t>
      </w:r>
    </w:p>
    <w:p>
      <w:r>
        <w:t>应特别核明信托领受文本是否签署、收益是否已经计提或分配，避免把暂缺表决权当作权益不存在，或把注销份额再次计价。2024年4月底分类不能作为2025年末乃至基准日分类使用。（广田集团_重整计划_2023-11-29.pdf，PDF第30、40、43页；广田集团_年报问询回复_2024-06-15.pdf，PDF第48—49页；广田集团_2025年年度报告_2026-04-24.pdf，PDF第61页）</w:t>
      </w:r>
    </w:p>
    <w:p>
      <w:pPr>
        <w:pStyle w:val="Heading1"/>
      </w:pPr>
      <w:r>
        <w:rPr>
          <w:color w:val="000000"/>
          <w:u w:val="none"/>
        </w:rPr>
        <w:t>三、涉及分类或期间疑问时先取得：主张与办理依据</w:t>
      </w:r>
    </w:p>
    <w:p>
      <w:r>
        <w:t>拟提供主体：转让方提供历次申报、诉讼或主张送达凭据、管理人接收记录、催告领受材料及未能受领原因证据；管理人、公司说明当前保留和领取口径，必要时提供法院相关文件。用途：核明已确认未领受是否因债权人自身原因，未申报者是否在三年内主张，暂缓类是否已获得最终确认。取得前限制：对未明确的股票或份额先不纳入可付款资源，亦不直接宣布债权全部失效。</w:t>
      </w:r>
    </w:p>
    <w:p>
      <w:r>
        <w:t>未申报现金的资金所在和办理主体应由公司、管理人共同核实。已确认未领受的执行完毕起点须有依据，并按最早可能到期日提前安排办理。担保或劳务转普通的标的还须取得清偿选择、已优先受偿及预留普通资源释放记录，防止双重计算。（广田集团_重整计划_2023-11-29.pdf，PDF第40—42页；广田集团_执行与诉讼公告合订.pdf，PDF第1、4—5、10—12页；企业重整法律及司法文件合订.pdf，PDF第11页）</w:t>
      </w:r>
    </w:p>
    <w:p>
      <w:pPr>
        <w:pStyle w:val="Heading1"/>
      </w:pPr>
      <w:r>
        <w:rPr>
          <w:color w:val="000000"/>
          <w:u w:val="none"/>
        </w:rPr>
        <w:t>四、确定经济对价前取得：可回收金额、期限及成本</w:t>
      </w:r>
    </w:p>
    <w:p>
      <w:r>
        <w:t>拟提供主体：转让方及管理人提供可支付现金的状态和预计安排；有关登记或交易服务机构就股份办理、限制和费用提供资料；受托人提供最新信托资产清收、处置、费用、分配及注销报告，必要时由相关评估或财务人员协助核查。用途：形成每股及每份净回款现值、现金回收时点、买方额外成本及风险准备，明确折现或风险调整假设。取得前限制：不将计划10.50元抵债价、历史会计单价或一元份额评估口径当作可确定回款或买入价，不在待核参数下输出确定报价。</w:t>
      </w:r>
    </w:p>
    <w:p>
      <w:r>
        <w:t>一般受益权对应资产已扣除担保和劳务优先财产；净分配仍需扣费用、垫付及第三人负债，受益人税费另核。成本不得在净回款参数与额外成本中重复扣除。（广田集团_重整计划_2023-11-29.pdf，PDF第25、29—30页；广田集团_年报问询回复_2024-06-15.pdf，PDF第44页；广田集团_会计师问询回复_2024-06-15.pdf，PDF第25页）</w:t>
      </w:r>
    </w:p>
    <w:p>
      <w:pPr>
        <w:pStyle w:val="Heading1"/>
      </w:pPr>
      <w:r>
        <w:rPr>
          <w:color w:val="000000"/>
          <w:u w:val="none"/>
        </w:rPr>
        <w:t>五、签约与付款前取得：协议、通知和可办理凭证</w:t>
      </w:r>
    </w:p>
    <w:p>
      <w:r>
        <w:t>拟提供主体：双方共同形成逐项权益清单及协议，转让方配合管理人、受托人及登记机构办理。应列明整笔或部分受让的三类数量、比例及分母、整数尾差归属、通知前已分配资源归属、需要另行移交的款项或权益；收集通知到达管理人的凭证、买方受领信息、信托领受文本及办理反馈。用途：使付款对应具体可交付资源。取得前限制：不能仅凭转让合同就对全部名义资源付款。</w:t>
      </w:r>
    </w:p>
    <w:p>
      <w:r>
        <w:t>建议同时约定：权益少于清单时减少相应对价；核心权益在约定期限内不能办理且未补正时，买方可拒绝付款或退出；已付款返还及保障措施与交易对手资信相匹配。部分权益尚有争议时暂缓对应价款，避免用难以实现的违约赔偿代替实际交割。此为谈判建议，是否采用及具体期间须在取得标的资料后确定。</w:t>
      </w:r>
    </w:p>
    <w:p>
      <w:r>
        <w:t>办理依据：计划十四（一）及（五）对受领信息、信托文本和转让通知作出要求，通知到达前已分配的部分由双方另行处理。（广田集团_重整计划_2023-11-29.pdf，PDF第39—43页）</w:t>
      </w:r>
    </w:p>
    <w:p>
      <w:pPr>
        <w:pStyle w:val="Heading1"/>
      </w:pPr>
      <w:r>
        <w:rPr>
          <w:color w:val="000000"/>
          <w:u w:val="none"/>
        </w:rPr>
        <w:t>六、并行取得：程序和投资履行的补充资料</w:t>
      </w:r>
    </w:p>
    <w:p>
      <w:r>
        <w:t>拟提供主体：管理人及公司提供目标债权确认和表决记录、会议留存计划及披露调整说明；相关投资人或公司提供指定受让文件、款项及过户资料、资产交割条件成就或豁免文件；受托人提供设立、登记及生效资料。用途：解释汇总数据时点、正式文本变化、指定主体履行和信托成立条件，判断其是否实际影响拟买权益。取得前限制：对公开材料不能解释的事项保留风险，不把人数变化、会计说明或信托成立先后直接写成计划无效或已全部领受的结论。</w:t>
      </w:r>
    </w:p>
    <w:p>
      <w:r>
        <w:t>核查应立足行为发生时规则，后续办理依现行规则。非标说明扫描签章日与披露日应分别登记，会计说明仍需与单户权利材料分开使用。（企业重整法律及司法文件合订.pdf，PDF第31—32、53—54、68—69页；上市公司重整交易所规则合订.pdf，PDF第1、11、17—18、23页；广田集团_年报问询回复_2024-06-15.pdf，PDF第46—47、54页；广田集团_非标意见消除专项说明_2024-04-27.pdf，PDF第4页）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icrosoft YaHei" w:hAnsi="Microsoft YaHei" w:eastAsia="微软雅黑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2428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>
  <dc:title>普通债权受让补充取证清单</dc:title>
  <dc:subject/>
  <cp:category/>
</cp:coreProperties>
</file>