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  <w:pBdr>
          <w:bottom w:val="single" w:sz="12" w:space="1" w:color="1A1A1A"/>
        </w:pBdr>
      </w:pPr>
      <w:r>
        <w:rPr>
          <w:rFonts w:ascii="黑体" w:hAnsi="黑体" w:eastAsia="黑体" w:cs="黑体"/>
          <w:b/>
          <w:sz w:val="30"/>
        </w:rPr>
        <w:t>渠宁市第一人民医院</w:t>
      </w:r>
    </w:p>
    <w:p>
      <w:pPr>
        <w:spacing w:before="280" w:after="280" w:line="288" w:lineRule="auto"/>
        <w:jc w:val="center"/>
      </w:pPr>
      <w:r>
        <w:rPr>
          <w:rFonts w:ascii="黑体" w:hAnsi="黑体" w:eastAsia="黑体" w:cs="黑体"/>
          <w:b/>
          <w:sz w:val="36"/>
        </w:rPr>
        <w:t>肾内科关于医保审核疑点的情况说明</w:t>
      </w:r>
    </w:p>
    <w:p>
      <w:pPr>
        <w:spacing w:before="0" w:after="40" w:line="360" w:lineRule="auto"/>
      </w:pPr>
      <w:r>
        <w:rPr>
          <w:rFonts w:ascii="宋体" w:hAnsi="宋体" w:eastAsia="宋体" w:cs="宋体"/>
          <w:b w:val="0"/>
          <w:sz w:val="24"/>
        </w:rPr>
        <w:t>医疗保险管理办公室：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贵办转来渠宁市医疗保障局反馈的我科患者樊某某（男，52岁）2024-07-22入院起至2024-12-31已结算费用的智能审核用药疑点，经科室核对病历，现将该患者病情及用药情况说明如下。</w:t>
      </w:r>
    </w:p>
    <w:p>
      <w:pPr>
        <w:spacing w:before="120" w:after="0" w:line="360" w:lineRule="auto"/>
      </w:pPr>
      <w:r>
        <w:rPr>
          <w:rFonts w:ascii="黑体" w:hAnsi="黑体" w:eastAsia="黑体" w:cs="黑体"/>
          <w:b/>
          <w:sz w:val="24"/>
        </w:rPr>
        <w:t>一、病情概况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患者因“双下肢水肿5个月，加重伴发热、胸痛3 d”于2024-07-22入住我科。患者为中年男性，表现为肾病综合征，尿蛋白7.179 g/24h，血清白蛋白&lt;30 g/L，伴水肿，早期伴轻度肾功能损伤，肾穿病理提示局灶节段性肾小球硬化症（FSGS，塌陷型），根据2021年版KDIGO指南推荐，考虑原发性FSGS，推荐进行免疫抑制治疗。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本例患者肾病综合征FSGS，前期使用大剂量激素及CTX免疫抑制治疗，免疫抑制方案选用足量激素联合CTX3个月后，患者合并播散性诺卡菌感染。FSGS合并豚鼠耳炎诺卡菌感染是免疫抑制治疗下的危重合并症，核心矛盾在于平衡免疫抑制与抗感染。</w:t>
      </w:r>
    </w:p>
    <w:p>
      <w:pPr>
        <w:spacing w:before="120" w:after="0" w:line="360" w:lineRule="auto"/>
      </w:pPr>
      <w:r>
        <w:rPr>
          <w:rFonts w:ascii="黑体" w:hAnsi="黑体" w:eastAsia="黑体" w:cs="黑体"/>
          <w:b/>
          <w:sz w:val="24"/>
        </w:rPr>
        <w:t>二、抗感染治疗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抗诺卡菌药物选择首选方案：复方磺胺甲噁唑（一线首选药物）；联合用药（美罗培南、利奈唑胺），疗程：免疫功能低下者需≥6个月，合并脑脓肿时延长至12个月。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该患者针对诺卡菌的治疗，临床先后给予复方磺胺甲噁唑片＋利奈唑胺＋头孢曲松/复方磺胺甲噁唑片＋利奈唑胺＋美罗培南抗感染。后续患者规律门诊复诊，目前仍口服复方磺胺甲噁唑片抗感染。</w:t>
      </w:r>
    </w:p>
    <w:p>
      <w:pPr>
        <w:spacing w:before="120" w:after="0" w:line="360" w:lineRule="auto"/>
      </w:pPr>
      <w:r>
        <w:rPr>
          <w:rFonts w:ascii="黑体" w:hAnsi="黑体" w:eastAsia="黑体" w:cs="黑体"/>
          <w:b/>
          <w:sz w:val="24"/>
        </w:rPr>
        <w:t>三、免疫抑制治疗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免疫抑制剂：调整激素快速减量，暂停免疫抑制剂环磷酰胺。确诊豚鼠耳炎诺卡菌感染后，立即予以每3日1片激素快速减量至10 mg维持。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2021KDIGO指南推荐：对于存在糖皮质激素禁忌的，患者不愿意服用糖皮质激素的，以及糖皮质激素抵抗的原发性成人FSGS患者，CNI类（他克莫司或环孢素）为一线首选；与CNI一代药物（环孢素）相比，二代药物（他克莫司）特异性免疫抑制作用更强，而且具有激素样效应，可减少激素用量，实现零激素给药；故抗感染治疗1个月后，炎症指标好转，无发热及胸痛等症状后，使用小剂量激素联合他克莫司治疗FSGS。感染控制1个月后，免疫抑制方案调整为泼尼松10 mg＋他克莫司胶囊1 mg bid口服。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他克莫司治疗FSGS应注意足剂量（维持血药浓度为5~10 ng/ml），足疗程（≥12个月），缓慢减停，在使用过程中应定期进行血药浓度监测。</w:t>
      </w:r>
    </w:p>
    <w:p>
      <w:pPr>
        <w:spacing w:before="120" w:after="0" w:line="360" w:lineRule="auto"/>
      </w:pPr>
      <w:r>
        <w:rPr>
          <w:rFonts w:ascii="黑体" w:hAnsi="黑体" w:eastAsia="黑体" w:cs="黑体"/>
          <w:b/>
          <w:sz w:val="24"/>
        </w:rPr>
        <w:t>四、科室意见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上述用药均有指南依据，恳请医保部门予以支付。</w:t>
      </w:r>
    </w:p>
    <w:p>
      <w:pPr>
        <w:spacing w:before="600" w:after="0" w:line="384" w:lineRule="auto"/>
        <w:jc w:val="right"/>
      </w:pPr>
      <w:r>
        <w:rPr>
          <w:rFonts w:ascii="宋体" w:hAnsi="宋体" w:eastAsia="宋体" w:cs="宋体"/>
          <w:b w:val="0"/>
          <w:sz w:val="24"/>
        </w:rPr>
        <w:t>渠宁市第一人民医院肾内科（盖章）</w:t>
      </w:r>
      <w:r>
        <w:rPr>
          <w:rFonts w:ascii="宋体" w:hAnsi="宋体" w:eastAsia="宋体" w:cs="宋体"/>
          <w:b w:val="0"/>
          <w:color w:val="000000"/>
          <w:sz w:val="24"/>
          <w:highlight w:val="black"/>
        </w:rPr>
        <w:t>■■■</w:t>
      </w:r>
    </w:p>
    <w:p>
      <w:pPr>
        <w:spacing w:before="0" w:after="0" w:line="384" w:lineRule="auto"/>
        <w:jc w:val="right"/>
      </w:pPr>
      <w:r>
        <w:rPr>
          <w:rFonts w:ascii="宋体" w:hAnsi="宋体" w:eastAsia="宋体" w:cs="宋体"/>
          <w:b w:val="0"/>
          <w:sz w:val="24"/>
        </w:rPr>
        <w:t>科主任签字：</w:t>
      </w:r>
      <w:r>
        <w:rPr>
          <w:rFonts w:ascii="宋体" w:hAnsi="宋体" w:eastAsia="宋体" w:cs="宋体"/>
          <w:b w:val="0"/>
          <w:color w:val="000000"/>
          <w:sz w:val="24"/>
          <w:highlight w:val="black"/>
        </w:rPr>
        <w:t>■■■■</w:t>
      </w:r>
    </w:p>
    <w:p>
      <w:pPr>
        <w:spacing w:before="0" w:after="0" w:line="384" w:lineRule="auto"/>
        <w:jc w:val="right"/>
      </w:pPr>
      <w:r>
        <w:rPr>
          <w:rFonts w:ascii="宋体" w:hAnsi="宋体" w:eastAsia="宋体" w:cs="宋体"/>
          <w:b w:val="0"/>
          <w:sz w:val="24"/>
        </w:rPr>
        <w:t>2025-01-10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18"/>
      </w:rPr>
      <w:t xml:space="preserve">第 </w:t>
    </w:r>
    <w:r>
      <w:rPr>
        <w:rFonts w:ascii="宋体" w:hAnsi="宋体" w:eastAsia="宋体" w:cs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 w:cs="宋体"/>
        <w:b w:val="0"/>
        <w:sz w:val="18"/>
      </w:rPr>
      <w:t xml:space="preserve"> 页  共 </w:t>
    </w:r>
    <w:r>
      <w:rPr>
        <w:rFonts w:ascii="宋体" w:hAnsi="宋体" w:eastAsia="宋体" w:cs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 w:cs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827</Words>
  <Characters>1031</Characters>
  <Application>Microsoft Macintosh Word</Application>
  <DocSecurity>0</DocSecurity>
  <Lines>28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category/>
</cp:coreProperties>
</file>