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医保审核疑点逐药药学说明</w:t>
      </w:r>
    </w:p>
    <w:p>
      <w:pPr>
        <w:jc w:val="center"/>
      </w:pPr>
      <w:r>
        <w:rPr>
          <w:rFonts w:ascii="宋体" w:hAnsi="宋体" w:eastAsia="宋体"/>
          <w:b w:val="0"/>
          <w:sz w:val="21"/>
        </w:rPr>
        <w:t>渠宁市第一人民医院药学部　送医疗保险管理办公室、肾内科主任</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项目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参保人</w:t>
            </w:r>
          </w:p>
        </w:tc>
        <w:tc>
          <w:tcPr>
            <w:tcW w:type="dxa" w:w="7937"/>
          </w:tcPr>
          <w:p>
            <w:pPr>
              <w:ind w:firstLine="0"/>
            </w:pPr>
            <w:r/>
            <w:r>
              <w:rPr>
                <w:rFonts w:ascii="宋体" w:hAnsi="宋体" w:eastAsia="宋体"/>
                <w:b w:val="0"/>
                <w:sz w:val="19"/>
              </w:rPr>
              <w:t>樊某某，男，52岁（编号类信息不在本说明中出现）</w:t>
            </w:r>
          </w:p>
        </w:tc>
      </w:tr>
      <w:tr>
        <w:tc>
          <w:tcPr>
            <w:tcW w:type="dxa" w:w="1474"/>
          </w:tcPr>
          <w:p>
            <w:pPr>
              <w:ind w:firstLine="0"/>
            </w:pPr>
            <w:r/>
            <w:r>
              <w:rPr>
                <w:rFonts w:ascii="宋体" w:hAnsi="宋体" w:eastAsia="宋体"/>
                <w:b w:val="0"/>
                <w:sz w:val="19"/>
              </w:rPr>
              <w:t>来件</w:t>
            </w:r>
          </w:p>
        </w:tc>
        <w:tc>
          <w:tcPr>
            <w:tcW w:type="dxa" w:w="7937"/>
          </w:tcPr>
          <w:p>
            <w:pPr>
              <w:ind w:firstLine="0"/>
            </w:pPr>
            <w:r/>
            <w:r>
              <w:rPr>
                <w:rFonts w:ascii="宋体" w:hAnsi="宋体" w:eastAsia="宋体"/>
                <w:b w:val="0"/>
                <w:sz w:val="19"/>
              </w:rPr>
              <w:t>医保办本周一转来渠宁市医疗保障局反馈的智能审核用药疑点汇总，连同肾内科关于医保审核疑点的情况说明（2025-01-10）；要求本周三前交稿，申诉系统本周五关闭</w:t>
            </w:r>
          </w:p>
        </w:tc>
      </w:tr>
      <w:tr>
        <w:tc>
          <w:tcPr>
            <w:tcW w:type="dxa" w:w="1474"/>
          </w:tcPr>
          <w:p>
            <w:pPr>
              <w:ind w:firstLine="0"/>
            </w:pPr>
            <w:r/>
            <w:r>
              <w:rPr>
                <w:rFonts w:ascii="宋体" w:hAnsi="宋体" w:eastAsia="宋体"/>
                <w:b w:val="0"/>
                <w:sz w:val="19"/>
              </w:rPr>
              <w:t>审核期间</w:t>
            </w:r>
          </w:p>
        </w:tc>
        <w:tc>
          <w:tcPr>
            <w:tcW w:type="dxa" w:w="7937"/>
          </w:tcPr>
          <w:p>
            <w:pPr>
              <w:ind w:firstLine="0"/>
            </w:pPr>
            <w:r/>
            <w:r>
              <w:rPr>
                <w:rFonts w:ascii="宋体" w:hAnsi="宋体" w:eastAsia="宋体"/>
                <w:b w:val="0"/>
                <w:sz w:val="19"/>
              </w:rPr>
              <w:t>2024-07-22入院起至2024-12-31已结算费用（据肾内科关于医保审核疑点的情况说明（2025-01-10）首段）；本批运行的是药品适应证与用法用量类规则</w:t>
            </w:r>
          </w:p>
        </w:tc>
      </w:tr>
      <w:tr>
        <w:tc>
          <w:tcPr>
            <w:tcW w:type="dxa" w:w="1474"/>
          </w:tcPr>
          <w:p>
            <w:pPr>
              <w:ind w:firstLine="0"/>
            </w:pPr>
            <w:r/>
            <w:r>
              <w:rPr>
                <w:rFonts w:ascii="宋体" w:hAnsi="宋体" w:eastAsia="宋体"/>
                <w:b w:val="0"/>
                <w:sz w:val="19"/>
              </w:rPr>
              <w:t>随件范围</w:t>
            </w:r>
          </w:p>
        </w:tc>
        <w:tc>
          <w:tcPr>
            <w:tcW w:type="dxa" w:w="7937"/>
          </w:tcPr>
          <w:p>
            <w:pPr>
              <w:ind w:firstLine="0"/>
            </w:pPr>
            <w:r/>
            <w:r>
              <w:rPr>
                <w:rFonts w:ascii="宋体" w:hAnsi="宋体" w:eastAsia="宋体"/>
                <w:b w:val="0"/>
                <w:sz w:val="19"/>
              </w:rPr>
              <w:t>疑点汇总只有药品名称与疑点类型；结算日期、数量、金额、品规编码留在结算系统，未随件。病历文书8份、目录与规章3份、说明书6份、指南与共识2份</w:t>
            </w:r>
          </w:p>
        </w:tc>
      </w:tr>
      <w:tr>
        <w:tc>
          <w:tcPr>
            <w:tcW w:type="dxa" w:w="1474"/>
          </w:tcPr>
          <w:p>
            <w:pPr>
              <w:ind w:firstLine="0"/>
            </w:pPr>
            <w:r/>
            <w:r>
              <w:rPr>
                <w:rFonts w:ascii="宋体" w:hAnsi="宋体" w:eastAsia="宋体"/>
                <w:b w:val="0"/>
                <w:sz w:val="19"/>
              </w:rPr>
              <w:t>配套文件</w:t>
            </w:r>
          </w:p>
        </w:tc>
        <w:tc>
          <w:tcPr>
            <w:tcW w:type="dxa" w:w="7937"/>
          </w:tcPr>
          <w:p>
            <w:pPr>
              <w:ind w:firstLine="0"/>
            </w:pPr>
            <w:r/>
            <w:r>
              <w:rPr>
                <w:rFonts w:ascii="宋体" w:hAnsi="宋体" w:eastAsia="宋体"/>
                <w:b w:val="0"/>
                <w:sz w:val="19"/>
              </w:rPr>
              <w:t>《需临床科室补充的材料清单》（下称“补充清单”，B号；其“核算”工作表下称“核算表”）；《支付范围自查表》（下称“自查表”，Z号）</w:t>
            </w:r>
          </w:p>
        </w:tc>
      </w:tr>
    </w:tbl>
    <w:p/>
    <w:p>
      <w:pPr>
        <w:spacing w:before="160"/>
      </w:pPr>
      <w:r>
        <w:rPr>
          <w:rFonts w:ascii="黑体" w:hAnsi="黑体" w:eastAsia="黑体"/>
          <w:b/>
          <w:sz w:val="24"/>
        </w:rPr>
        <w:t>一、来件与范围</w:t>
      </w:r>
    </w:p>
    <w:p>
      <w:pPr>
        <w:ind w:firstLine="420"/>
      </w:pPr>
      <w:r>
        <w:rPr>
          <w:rFonts w:ascii="宋体" w:hAnsi="宋体" w:eastAsia="宋体"/>
          <w:b w:val="0"/>
        </w:rPr>
        <w:t>医保办转来的疑点涉及五个药：复方磺胺甲噁唑片、利奈唑胺葡萄糖注射液、他克莫司胶囊、伊曲康唑胶囊、注射用头孢他啶。医保办要用这份说明决定哪些疑点申诉、哪些主动认扣、哪些先补材料，并要求对同期其余目录内药品做一次支付范围自查（见自查表）。按院内超说明书用药复核的惯例，本说明对每个疑点药同时核了用药过程是否按说明书规范管理——申诉材料若要写“临床必需、安全可控”，这一部分就是它能否成立的依据。</w:t>
      </w:r>
    </w:p>
    <w:p>
      <w:pPr>
        <w:ind w:firstLine="420"/>
      </w:pPr>
      <w:r>
        <w:rPr>
          <w:rFonts w:ascii="宋体" w:hAnsi="宋体" w:eastAsia="宋体"/>
          <w:b w:val="0"/>
        </w:rPr>
        <w:t>结论分四档：疑点成立＝病历所载用法与说明书或支付规则不符，随件材料中没有可据以申辩的依据；部分成立＝同一药的几项疑点中只有部分成立，或成立与否取决于待补材料中的某一事实；不成立＝病历所载用法在说明书和支付规则范围内；材料不足无法判定＝决定结论的关键事实在随件材料中未记载，补齐前不下结论。同一药有几类疑点的，逐类给档。</w:t>
      </w:r>
    </w:p>
    <w:p>
      <w:pPr>
        <w:ind w:firstLine="420"/>
      </w:pPr>
      <w:r>
        <w:rPr>
          <w:rFonts w:ascii="宋体" w:hAnsi="宋体" w:eastAsia="宋体"/>
          <w:b w:val="0"/>
        </w:rPr>
        <w:t>写法约定：病历中查不到的写“未载”，两份病历写法不同的两处出处并列，交临床确认，不替临床补写。病历页码为PDF页序，扫描件注明页内位置；病理报告与逐日病程是扫描归档件，利奈唑胺、美罗培南两份说明书是厂家原件影印，均按图像逐页读取。目录页码为PDF页序（目录页脚印刷页码比PDF页序小1）。说明书用随件版本；病历未载本院实际进货厂家，如与随件版本不同，需药库提供实际品种说明书复核。目录用随件2023年版，覆盖本次审核期间。外院资料中“当地医院”与“滦溪县人民医院”是否为同一机构，原件未写明，无法核实，本说明照原件分别引用。</w:t>
      </w:r>
    </w:p>
    <w:p>
      <w:pPr>
        <w:spacing w:before="160"/>
      </w:pPr>
      <w:r>
        <w:rPr>
          <w:rFonts w:ascii="黑体" w:hAnsi="黑体" w:eastAsia="黑体"/>
          <w:b/>
          <w:sz w:val="24"/>
        </w:rPr>
        <w:t>二、逐药说明</w:t>
      </w:r>
    </w:p>
    <w:p>
      <w:pPr>
        <w:spacing w:before="160"/>
      </w:pPr>
      <w:r>
        <w:rPr>
          <w:rFonts w:ascii="黑体" w:hAnsi="黑体" w:eastAsia="黑体"/>
          <w:b/>
          <w:sz w:val="23"/>
        </w:rPr>
        <w:t>Y1　复方磺胺甲噁唑片</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栏目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疑点原文</w:t>
            </w:r>
          </w:p>
        </w:tc>
        <w:tc>
          <w:tcPr>
            <w:tcW w:type="dxa" w:w="7937"/>
          </w:tcPr>
          <w:p>
            <w:pPr>
              <w:ind w:firstLine="0"/>
            </w:pPr>
            <w:r/>
            <w:r>
              <w:rPr>
                <w:rFonts w:ascii="宋体" w:hAnsi="宋体" w:eastAsia="宋体"/>
                <w:b w:val="0"/>
                <w:sz w:val="19"/>
              </w:rPr>
              <w:t>诊断与说明书适应证不符；用法用量与说明书不符</w:t>
            </w:r>
          </w:p>
        </w:tc>
      </w:tr>
      <w:tr>
        <w:tc>
          <w:tcPr>
            <w:tcW w:type="dxa" w:w="1474"/>
          </w:tcPr>
          <w:p>
            <w:pPr>
              <w:ind w:firstLine="0"/>
            </w:pPr>
            <w:r/>
            <w:r>
              <w:rPr>
                <w:rFonts w:ascii="宋体" w:hAnsi="宋体" w:eastAsia="宋体"/>
                <w:b w:val="0"/>
                <w:sz w:val="19"/>
              </w:rPr>
              <w:t>用药事实</w:t>
            </w:r>
          </w:p>
        </w:tc>
        <w:tc>
          <w:tcPr>
            <w:tcW w:type="dxa" w:w="7937"/>
          </w:tcPr>
          <w:p>
            <w:pPr>
              <w:ind w:firstLine="0"/>
            </w:pPr>
            <w:r/>
            <w:r>
              <w:rPr>
                <w:rFonts w:ascii="宋体" w:hAnsi="宋体" w:eastAsia="宋体"/>
                <w:b w:val="0"/>
                <w:sz w:val="19"/>
              </w:rPr>
              <w:t>2024-07-29胸水一般细菌培养回报“豚鼠耳炎诺卡菌（大量）”，当日调整为“复方磺胺甲噁唑片0.8 g每日4次＋利奈唑胺葡萄糖注射液300 mg每日2次＋头孢曲松钠1 g每日2次”（病程记录（2024-07-23至2024-08-02）第1页扫描件2024-07-29条；出院记录第1页诊疗经过（4）同）。2024-07-31右前臂脓液培养同为豚鼠耳炎诺卡菌（检验检查报告（2024-07-22至2024-08-02）第19页）。两张培养单只有菌名与菌落计数，全部材料中没有药敏结果（同件第16、19页）。出院诊断“播散性诺卡菌病 豚鼠耳炎诺卡菌肺炎、豚鼠耳炎诺卡菌皮肤感染”。出院后剂量未载；肾内科关于医保审核疑点的情况说明（2025-01-10）二、第2段写“后续患者规律门诊复诊，目前仍口服复方磺胺甲噁唑片抗感染”，落款日为起用后第166天（核算表第29行）。实际发药片数未载。</w:t>
            </w:r>
          </w:p>
        </w:tc>
      </w:tr>
      <w:tr>
        <w:tc>
          <w:tcPr>
            <w:tcW w:type="dxa" w:w="1474"/>
          </w:tcPr>
          <w:p>
            <w:pPr>
              <w:ind w:firstLine="0"/>
            </w:pPr>
            <w:r/>
            <w:r>
              <w:rPr>
                <w:rFonts w:ascii="宋体" w:hAnsi="宋体" w:eastAsia="宋体"/>
                <w:b w:val="0"/>
                <w:sz w:val="19"/>
              </w:rPr>
              <w:t>说明书核对</w:t>
            </w:r>
          </w:p>
        </w:tc>
        <w:tc>
          <w:tcPr>
            <w:tcW w:type="dxa" w:w="7937"/>
          </w:tcPr>
          <w:p>
            <w:pPr>
              <w:ind w:firstLine="0"/>
            </w:pPr>
            <w:r/>
            <w:r>
              <w:rPr>
                <w:rFonts w:ascii="宋体" w:hAnsi="宋体" w:eastAsia="宋体"/>
                <w:b w:val="0"/>
                <w:sz w:val="19"/>
              </w:rPr>
              <w:t>复方磺胺甲噁唑片说明书（2024年修订）第1页【适应症】首句“治疗细菌感染需参考药敏结果”，所列七项（尿路感染、小儿急性中耳炎、慢性支气管炎急性发作、志贺菌肠道感染、卡氏肺孢子虫肺炎治疗与预防、旅游者腹泻）不含诺卡菌病。第4页【药理毒理】“在体外对沙眼衣原体、星形奴卡菌……亦具良好抗微生物活性”只是体外活性描述，不是适应症，且菌种为星形奴卡菌，与本例豚鼠耳炎诺卡菌不同。用法用量：第1页【成份】每片磺胺甲噁唑0.4 g、甲氧苄啶0.08 g；【用法用量】成人治疗细菌性感染“一次甲氧苄啶160mg和磺胺甲噁唑800mg，每12小时服用1次”，每6小时一次只用于卡氏肺孢子虫肺炎（按mg/kg计）。“0.8 g”按磺胺甲噁唑含量读为每次2片（若作复方总量读，每次合1.67片，不成整片，不自洽，核算表第17行），日剂量磺胺甲噁唑3.2 g、甲氧苄啶640 mg，是说明书细菌感染日剂量（1.6 g、320 mg）的2倍（核算表第8行至核算表第15行）。第3页【注意事项】（9）“不可任意加大剂量、增加用药次数或延长疗程”。入院体重50 kg是在“双上肢及双下肢重度凹陷性水肿”下测得（入院记录（2024-07-22）体格检查），即便按mg/kg折算也不宜作剂量依据。</w:t>
            </w:r>
          </w:p>
        </w:tc>
      </w:tr>
      <w:tr>
        <w:tc>
          <w:tcPr>
            <w:tcW w:type="dxa" w:w="1474"/>
          </w:tcPr>
          <w:p>
            <w:pPr>
              <w:ind w:firstLine="0"/>
            </w:pPr>
            <w:r/>
            <w:r>
              <w:rPr>
                <w:rFonts w:ascii="宋体" w:hAnsi="宋体" w:eastAsia="宋体"/>
                <w:b w:val="0"/>
                <w:sz w:val="19"/>
              </w:rPr>
              <w:t>医保目录与支付规则核对</w:t>
            </w:r>
          </w:p>
        </w:tc>
        <w:tc>
          <w:tcPr>
            <w:tcW w:type="dxa" w:w="7937"/>
          </w:tcPr>
          <w:p>
            <w:pPr>
              <w:ind w:firstLine="0"/>
            </w:pPr>
            <w:r/>
            <w:r>
              <w:rPr>
                <w:rFonts w:ascii="宋体" w:hAnsi="宋体" w:eastAsia="宋体"/>
                <w:b w:val="0"/>
                <w:sz w:val="19"/>
              </w:rPr>
              <w:t>国家基本医疗保险、工伤保险和生育保险药品目录（2023年）PDF第39页西药部分甲类658“复方磺胺甲噁唑 口服常释剂型”，备注栏无限定支付范围。疑点不在目录限定层面，在说明书层面（适应证、用法用量）；支付条件见第四节。</w:t>
            </w:r>
          </w:p>
        </w:tc>
      </w:tr>
      <w:tr>
        <w:tc>
          <w:tcPr>
            <w:tcW w:type="dxa" w:w="1474"/>
          </w:tcPr>
          <w:p>
            <w:pPr>
              <w:ind w:firstLine="0"/>
            </w:pPr>
            <w:r/>
            <w:r>
              <w:rPr>
                <w:rFonts w:ascii="宋体" w:hAnsi="宋体" w:eastAsia="宋体"/>
                <w:b w:val="0"/>
                <w:sz w:val="19"/>
              </w:rPr>
              <w:t>临床依据与适用前提</w:t>
            </w:r>
          </w:p>
        </w:tc>
        <w:tc>
          <w:tcPr>
            <w:tcW w:type="dxa" w:w="7937"/>
          </w:tcPr>
          <w:p>
            <w:pPr>
              <w:ind w:firstLine="0"/>
            </w:pPr>
            <w:r/>
            <w:r>
              <w:rPr>
                <w:rFonts w:ascii="宋体" w:hAnsi="宋体" w:eastAsia="宋体"/>
                <w:b w:val="0"/>
                <w:sz w:val="19"/>
              </w:rPr>
              <w:t>肾内科关于医保审核疑点的情况说明（2025-01-10）二、第1段称“复方磺胺甲噁唑（一线首选药物）……疗程：免疫功能低下者需≥6个月”，未附出处。随件材料中能引的只有说明书体外活性一句，不构成适应症。胸水、脓液两处培养支持诺卡菌感染诊断，患者处于激素加环磷酰胺治疗后，临床使用的必要性可以陈述；但说明书把参考药敏结果写作前提，本例没有药敏。</w:t>
            </w:r>
          </w:p>
        </w:tc>
      </w:tr>
      <w:tr>
        <w:tc>
          <w:tcPr>
            <w:tcW w:type="dxa" w:w="1474"/>
          </w:tcPr>
          <w:p>
            <w:pPr>
              <w:ind w:firstLine="0"/>
            </w:pPr>
            <w:r/>
            <w:r>
              <w:rPr>
                <w:rFonts w:ascii="宋体" w:hAnsi="宋体" w:eastAsia="宋体"/>
                <w:b w:val="0"/>
                <w:sz w:val="19"/>
              </w:rPr>
              <w:t>结论分级与需补材料</w:t>
            </w:r>
          </w:p>
        </w:tc>
        <w:tc>
          <w:tcPr>
            <w:tcW w:type="dxa" w:w="7937"/>
          </w:tcPr>
          <w:p>
            <w:pPr>
              <w:ind w:firstLine="0"/>
            </w:pPr>
            <w:r/>
            <w:r>
              <w:rPr>
                <w:rFonts w:ascii="宋体" w:hAnsi="宋体" w:eastAsia="宋体"/>
                <w:b w:val="0"/>
                <w:sz w:val="19"/>
              </w:rPr>
              <w:t>适应证：疑点成立，属超出说明书适应证的使用。用法用量：疑点成立（每日4次、日剂量为细菌感染方案2倍，说明书无此用法）。需补：B01、B14、B18。</w:t>
            </w:r>
          </w:p>
        </w:tc>
      </w:tr>
    </w:tbl>
    <w:p/>
    <w:p>
      <w:pPr>
        <w:spacing w:before="160"/>
      </w:pPr>
      <w:r>
        <w:rPr>
          <w:rFonts w:ascii="黑体" w:hAnsi="黑体" w:eastAsia="黑体"/>
          <w:b/>
          <w:sz w:val="23"/>
        </w:rPr>
        <w:t>Y2　利奈唑胺葡萄糖注射液</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栏目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疑点原文</w:t>
            </w:r>
          </w:p>
        </w:tc>
        <w:tc>
          <w:tcPr>
            <w:tcW w:type="dxa" w:w="7937"/>
          </w:tcPr>
          <w:p>
            <w:pPr>
              <w:ind w:firstLine="0"/>
            </w:pPr>
            <w:r/>
            <w:r>
              <w:rPr>
                <w:rFonts w:ascii="宋体" w:hAnsi="宋体" w:eastAsia="宋体"/>
                <w:b w:val="0"/>
                <w:sz w:val="19"/>
              </w:rPr>
              <w:t>诊断与说明书适应证不符；用法用量与说明书不符；疗程与说明书不符</w:t>
            </w:r>
          </w:p>
        </w:tc>
      </w:tr>
      <w:tr>
        <w:tc>
          <w:tcPr>
            <w:tcW w:type="dxa" w:w="1474"/>
          </w:tcPr>
          <w:p>
            <w:pPr>
              <w:ind w:firstLine="0"/>
            </w:pPr>
            <w:r/>
            <w:r>
              <w:rPr>
                <w:rFonts w:ascii="宋体" w:hAnsi="宋体" w:eastAsia="宋体"/>
                <w:b w:val="0"/>
                <w:sz w:val="19"/>
              </w:rPr>
              <w:t>用药事实</w:t>
            </w:r>
          </w:p>
        </w:tc>
        <w:tc>
          <w:tcPr>
            <w:tcW w:type="dxa" w:w="7937"/>
          </w:tcPr>
          <w:p>
            <w:pPr>
              <w:ind w:firstLine="0"/>
            </w:pPr>
            <w:r/>
            <w:r>
              <w:rPr>
                <w:rFonts w:ascii="宋体" w:hAnsi="宋体" w:eastAsia="宋体"/>
                <w:b w:val="0"/>
                <w:sz w:val="19"/>
              </w:rPr>
              <w:t>2024-07-29起“利奈唑胺葡萄糖注射液300 mg每日2次”（病程记录（2024-07-23至2024-08-02）第1页扫描件2024-07-29条；出院记录诊疗经过（4）），给药途径、品规未写。止日未载：逐日病程止于08-02，未见停药；出院记录出院日期、住院天数、出院医嘱（含出院带药）栏均为遮盖、无法核实；肾内科关于医保审核疑点的情况说明（2025-01-10）只写“先后给予……利奈唑胺……”。用药期间没有任何一次血常规：全部材料只有入院血常规一次（检验检查报告（2024-07-22至2024-08-02）第1页，Hb 111 g/L，单上无血小板项，提示栏、参考区间栏与采样时间均为遮盖、无法核实），胸部CT（2024-07-23）诊断意见“心腔密度减低，提示贫血”（同件第11页）；出院记录诊疗经过（5）“输注血浆、红细胞”未写日期与输注前血红蛋白。</w:t>
            </w:r>
          </w:p>
        </w:tc>
      </w:tr>
      <w:tr>
        <w:tc>
          <w:tcPr>
            <w:tcW w:type="dxa" w:w="1474"/>
          </w:tcPr>
          <w:p>
            <w:pPr>
              <w:ind w:firstLine="0"/>
            </w:pPr>
            <w:r/>
            <w:r>
              <w:rPr>
                <w:rFonts w:ascii="宋体" w:hAnsi="宋体" w:eastAsia="宋体"/>
                <w:b w:val="0"/>
                <w:sz w:val="19"/>
              </w:rPr>
              <w:t>说明书核对</w:t>
            </w:r>
          </w:p>
        </w:tc>
        <w:tc>
          <w:tcPr>
            <w:tcW w:type="dxa" w:w="7937"/>
          </w:tcPr>
          <w:p>
            <w:pPr>
              <w:ind w:firstLine="0"/>
            </w:pPr>
            <w:r/>
            <w:r>
              <w:rPr>
                <w:rFonts w:ascii="宋体" w:hAnsi="宋体" w:eastAsia="宋体"/>
                <w:b w:val="0"/>
                <w:sz w:val="19"/>
              </w:rPr>
              <w:t>利奈唑胺葡萄糖注射液说明书（2017年修订）第1页（影印件，左起第一栏）【适应症】为院内获得性肺炎、社区获得性肺炎、复杂性与非复杂性皮肤和皮肤软组织感染、万古霉素耐药的屎肠球菌感染，所列病原均为特定革兰阳性菌，无诺卡菌；同栏“在对照临床研究中，对于应用利奈唑胺制剂超过28天的安全性和有效性尚未进行评价”。【规格】“100ml：利奈唑胺0.2g”；【用法用量】表1成人“每12小时，600mg”，并写明研究方案疗程“均为7至28天”。第2页右栏药代动力学“肾功能不全”段：无需对肾功能不全患者调整剂量——说明书里没有按肾功能或体重减量的依据（入院肌酐65 μmol/L，检验检查报告（2024-07-22至2024-08-02）第6页）。病历“300 mg”是推荐单次量的50%（核算表第22行）；若“300”指输注容量，按0.2 g/100 ml折算为600 mg，恰为推荐量（核算表第23行）。病历未写单位所指与品规，实际给药量判断不了。疗程：07-29含首日的第28天为2024-08-25（核算表第25行），用至2024-08-26及以后即超出说明书已评价的疗程。第1页右栏【注意事项】骨髓抑制段：应每周进行全血细胞计数，“尤其是用药超过两周，或用药前已有贫血……或合并应用可降低血红蛋白水平……骨髓抑制的其他药物”者；“利奈唑胺疗程超过最长推荐的28天时会增加严重贫血发生率”。</w:t>
            </w:r>
          </w:p>
        </w:tc>
      </w:tr>
      <w:tr>
        <w:tc>
          <w:tcPr>
            <w:tcW w:type="dxa" w:w="1474"/>
          </w:tcPr>
          <w:p>
            <w:pPr>
              <w:ind w:firstLine="0"/>
            </w:pPr>
            <w:r/>
            <w:r>
              <w:rPr>
                <w:rFonts w:ascii="宋体" w:hAnsi="宋体" w:eastAsia="宋体"/>
                <w:b w:val="0"/>
                <w:sz w:val="19"/>
              </w:rPr>
              <w:t>医保目录与支付规则核对</w:t>
            </w:r>
          </w:p>
        </w:tc>
        <w:tc>
          <w:tcPr>
            <w:tcW w:type="dxa" w:w="7937"/>
          </w:tcPr>
          <w:p>
            <w:pPr>
              <w:ind w:firstLine="0"/>
            </w:pPr>
            <w:r/>
            <w:r>
              <w:rPr>
                <w:rFonts w:ascii="宋体" w:hAnsi="宋体" w:eastAsia="宋体"/>
                <w:b w:val="0"/>
                <w:sz w:val="19"/>
              </w:rPr>
              <w:t>国家基本医疗保险、工伤保险和生育保险药品目录（2023年）PDF第42页西药部分乙类“★(695)利奈唑胺葡萄糖 注射剂”，备注栏无限定；同号“利奈唑胺 口服常释剂型”亦无限定。疑点在说明书层面。</w:t>
            </w:r>
          </w:p>
        </w:tc>
      </w:tr>
      <w:tr>
        <w:tc>
          <w:tcPr>
            <w:tcW w:type="dxa" w:w="1474"/>
          </w:tcPr>
          <w:p>
            <w:pPr>
              <w:ind w:firstLine="0"/>
            </w:pPr>
            <w:r/>
            <w:r>
              <w:rPr>
                <w:rFonts w:ascii="宋体" w:hAnsi="宋体" w:eastAsia="宋体"/>
                <w:b w:val="0"/>
                <w:sz w:val="19"/>
              </w:rPr>
              <w:t>临床依据与适用前提</w:t>
            </w:r>
          </w:p>
        </w:tc>
        <w:tc>
          <w:tcPr>
            <w:tcW w:type="dxa" w:w="7937"/>
          </w:tcPr>
          <w:p>
            <w:pPr>
              <w:ind w:firstLine="0"/>
            </w:pPr>
            <w:r/>
            <w:r>
              <w:rPr>
                <w:rFonts w:ascii="宋体" w:hAnsi="宋体" w:eastAsia="宋体"/>
                <w:b w:val="0"/>
                <w:sz w:val="19"/>
              </w:rPr>
              <w:t>肾内科关于医保审核疑点的情况说明（2025-01-10）二、第1段“联合用药（美罗培南、利奈唑胺）”是讨论诺卡菌通用方案的一句，不是本例用药记录（本例实际组合见病程07-29条）。随件材料中没有利奈唑胺用于诺卡菌病的说明书依据；剂量为何是300 mg，病历没有说明。播散性感染需多药联合的临床理由可以陈述，但不改变适应证结论。</w:t>
            </w:r>
          </w:p>
        </w:tc>
      </w:tr>
      <w:tr>
        <w:tc>
          <w:tcPr>
            <w:tcW w:type="dxa" w:w="1474"/>
          </w:tcPr>
          <w:p>
            <w:pPr>
              <w:ind w:firstLine="0"/>
            </w:pPr>
            <w:r/>
            <w:r>
              <w:rPr>
                <w:rFonts w:ascii="宋体" w:hAnsi="宋体" w:eastAsia="宋体"/>
                <w:b w:val="0"/>
                <w:sz w:val="19"/>
              </w:rPr>
              <w:t>结论分级与需补材料</w:t>
            </w:r>
          </w:p>
        </w:tc>
        <w:tc>
          <w:tcPr>
            <w:tcW w:type="dxa" w:w="7937"/>
          </w:tcPr>
          <w:p>
            <w:pPr>
              <w:ind w:firstLine="0"/>
            </w:pPr>
            <w:r/>
            <w:r>
              <w:rPr>
                <w:rFonts w:ascii="宋体" w:hAnsi="宋体" w:eastAsia="宋体"/>
                <w:b w:val="0"/>
                <w:sz w:val="19"/>
              </w:rPr>
              <w:t>适应证：疑点成立。用法用量：材料不足无法判定——核实为每次300 mg的，成立（低于说明书推荐量且无减量依据）；核实为300 ml的，用法用量不成立。疗程：材料不足无法判定——病历未载止日，系统报“疗程与说明书不符”，提示结算的用药天数可能已超过28天，需调结算明细确认，不按推测写天数。用药期间血常规未见，见第三节（4）。需补：B02、B03、B04、B06、B14。</w:t>
            </w:r>
          </w:p>
        </w:tc>
      </w:tr>
    </w:tbl>
    <w:p/>
    <w:p>
      <w:pPr>
        <w:spacing w:before="160"/>
      </w:pPr>
      <w:r>
        <w:rPr>
          <w:rFonts w:ascii="黑体" w:hAnsi="黑体" w:eastAsia="黑体"/>
          <w:b/>
          <w:sz w:val="23"/>
        </w:rPr>
        <w:t>Y3　他克莫司胶囊</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栏目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疑点原文</w:t>
            </w:r>
          </w:p>
        </w:tc>
        <w:tc>
          <w:tcPr>
            <w:tcW w:type="dxa" w:w="7937"/>
          </w:tcPr>
          <w:p>
            <w:pPr>
              <w:ind w:firstLine="0"/>
            </w:pPr>
            <w:r/>
            <w:r>
              <w:rPr>
                <w:rFonts w:ascii="宋体" w:hAnsi="宋体" w:eastAsia="宋体"/>
                <w:b w:val="0"/>
                <w:sz w:val="19"/>
              </w:rPr>
              <w:t>诊断与说明书适应证不符</w:t>
            </w:r>
          </w:p>
        </w:tc>
      </w:tr>
      <w:tr>
        <w:tc>
          <w:tcPr>
            <w:tcW w:type="dxa" w:w="1474"/>
          </w:tcPr>
          <w:p>
            <w:pPr>
              <w:ind w:firstLine="0"/>
            </w:pPr>
            <w:r/>
            <w:r>
              <w:rPr>
                <w:rFonts w:ascii="宋体" w:hAnsi="宋体" w:eastAsia="宋体"/>
                <w:b w:val="0"/>
                <w:sz w:val="19"/>
              </w:rPr>
              <w:t>用药事实</w:t>
            </w:r>
          </w:p>
        </w:tc>
        <w:tc>
          <w:tcPr>
            <w:tcW w:type="dxa" w:w="7937"/>
          </w:tcPr>
          <w:p>
            <w:pPr>
              <w:ind w:firstLine="0"/>
            </w:pPr>
            <w:r/>
            <w:r>
              <w:rPr>
                <w:rFonts w:ascii="宋体" w:hAnsi="宋体" w:eastAsia="宋体"/>
                <w:b w:val="0"/>
                <w:sz w:val="19"/>
              </w:rPr>
              <w:t>住院期间病历中没有他克莫司；首次病程记录（2024-07-22）第1页鉴别诊断写患者“无钙调磷酸酶抑制剂（CNI）……用药史”。唯一记载在肾内科关于医保审核疑点的情况说明（2025-01-10）三、：前文写“抗感染治疗1个月后，炎症指标好转……使用小剂量激素联合他克莫司治疗FSGS”，末句写“感染控制1个月后，免疫抑制方案调整为泼尼松10 mg＋他克莫司胶囊1 mg bid口服”——起算点两种写法，起用日期未载；疑点汇总列有该药，说明2024-12-31前已有结算。同节“维持血药浓度为5~10 ng/ml……使用过程中应定期进行血药浓度监测”是治疗目标与要求，不是检测记录；随件材料中没有任何一次他克莫司浓度、血钾或随访期肾功能结果。</w:t>
            </w:r>
          </w:p>
        </w:tc>
      </w:tr>
      <w:tr>
        <w:tc>
          <w:tcPr>
            <w:tcW w:type="dxa" w:w="1474"/>
          </w:tcPr>
          <w:p>
            <w:pPr>
              <w:ind w:firstLine="0"/>
            </w:pPr>
            <w:r/>
            <w:r>
              <w:rPr>
                <w:rFonts w:ascii="宋体" w:hAnsi="宋体" w:eastAsia="宋体"/>
                <w:b w:val="0"/>
                <w:sz w:val="19"/>
              </w:rPr>
              <w:t>说明书核对</w:t>
            </w:r>
          </w:p>
        </w:tc>
        <w:tc>
          <w:tcPr>
            <w:tcW w:type="dxa" w:w="7937"/>
          </w:tcPr>
          <w:p>
            <w:pPr>
              <w:ind w:firstLine="0"/>
            </w:pPr>
            <w:r/>
            <w:r>
              <w:rPr>
                <w:rFonts w:ascii="宋体" w:hAnsi="宋体" w:eastAsia="宋体"/>
                <w:b w:val="0"/>
                <w:sz w:val="19"/>
              </w:rPr>
              <w:t>他克莫司胶囊（普乐可复）说明书（2024年修订）第2页【适应症】“预防肝脏或肾脏移植术后的移植物排斥反应。治疗肝脏或肾脏移植术后应用其他免疫抑制药物无法控制的移植物排斥反应”，不含肾病综合征或FSGS。第13页【注意事项】血栓性微血管病（TMA）段：出现溶血性贫血、血小板减少症、肾功能损害和发热等表现时应考虑TMA，“如果确诊为TMA……应根据主治医生的判断考虑停用他克莫司”；【不良反应】列有血栓性微血管病（第6页）、溶血性尿毒症综合征（第8页）。本例肾活检病理报告（2024-03-15）第1页（扫描件）病理诊断栏第（2）条即“血栓性微血管病（TMA）样病变”，电镜“毛细血管内皮细胞明显空泡变性”。病理的“样病变”是组织学所见，不等于说明书所指已确诊的TMA，说明书也没有据此禁用；但这是用药前已存在的基线所见，用药期间应留意血小板、溶血、肾功能等线索，病历中一项未见（B09）。与复方磺胺甲噁唑、伊曲康唑及降压药同期使用的问题见第三节（1）（2）。</w:t>
            </w:r>
          </w:p>
        </w:tc>
      </w:tr>
      <w:tr>
        <w:tc>
          <w:tcPr>
            <w:tcW w:type="dxa" w:w="1474"/>
          </w:tcPr>
          <w:p>
            <w:pPr>
              <w:ind w:firstLine="0"/>
            </w:pPr>
            <w:r/>
            <w:r>
              <w:rPr>
                <w:rFonts w:ascii="宋体" w:hAnsi="宋体" w:eastAsia="宋体"/>
                <w:b w:val="0"/>
                <w:sz w:val="19"/>
              </w:rPr>
              <w:t>医保目录与支付规则核对</w:t>
            </w:r>
          </w:p>
        </w:tc>
        <w:tc>
          <w:tcPr>
            <w:tcW w:type="dxa" w:w="7937"/>
          </w:tcPr>
          <w:p>
            <w:pPr>
              <w:ind w:firstLine="0"/>
            </w:pPr>
            <w:r/>
            <w:r>
              <w:rPr>
                <w:rFonts w:ascii="宋体" w:hAnsi="宋体" w:eastAsia="宋体"/>
                <w:b w:val="0"/>
                <w:sz w:val="19"/>
              </w:rPr>
              <w:t>国家基本医疗保险、工伤保险和生育保险药品目录（2023年）PDF第53页西药部分乙类“★(515)他克莫司 口服常释剂型”，备注栏无限定。目录中他克莫司的限定只在软膏剂行（PDF第32页，限中重度特应性皮炎患者的二线用药）和滴眼剂行（PDF第71页），与胶囊无关，不能引作本例支付依据。</w:t>
            </w:r>
          </w:p>
        </w:tc>
      </w:tr>
      <w:tr>
        <w:tc>
          <w:tcPr>
            <w:tcW w:type="dxa" w:w="1474"/>
          </w:tcPr>
          <w:p>
            <w:pPr>
              <w:ind w:firstLine="0"/>
            </w:pPr>
            <w:r/>
            <w:r>
              <w:rPr>
                <w:rFonts w:ascii="宋体" w:hAnsi="宋体" w:eastAsia="宋体"/>
                <w:b w:val="0"/>
                <w:sz w:val="19"/>
              </w:rPr>
              <w:t>临床依据与适用前提</w:t>
            </w:r>
          </w:p>
        </w:tc>
        <w:tc>
          <w:tcPr>
            <w:tcW w:type="dxa" w:w="7937"/>
          </w:tcPr>
          <w:p>
            <w:pPr>
              <w:ind w:firstLine="0"/>
            </w:pPr>
            <w:r/>
            <w:r>
              <w:rPr>
                <w:rFonts w:ascii="宋体" w:hAnsi="宋体" w:eastAsia="宋体"/>
                <w:b w:val="0"/>
                <w:sz w:val="19"/>
              </w:rPr>
              <w:t>情况说明以KDIGO 2021“CNI类为一线首选”为据。KDIGO Clinical Practice Guideline for the Management of Glomerular Diseases（2021）第6章：CNI的推荐对象是原发性FSGS——Practice Point 6.2.2.4（对激素有相对禁忌或不能耐受者，考虑以CNI作初始治疗）、Recommendation 6.3.1.1（激素抵抗的原发性FSGS）；Practice Point 6.2.1.1：对FSGS-UC与继发性FSGS不予免疫抑制（PDF第68–70页）。原发性FSGS的定义（PDF第166页）：光镜FSGS病变、电镜弥漫足突融合、临床肾病综合征，且“there should be no other identifiable causes”。本例支持点：肾病综合征（入院24小时尿蛋白7179 mg、白蛋白22.9 g/L，检验检查报告（2024-07-22至2024-08-02）第5、6页），电镜“上皮足突弥漫融合”（肾活检病理报告（2024-03-15））。未排除之处：①同一份病理还有“TMA样病变”“急性肾小管间质肾病”，免疫荧光IgG（++）沿毛细血管壁颗粒样沉积，电镜节段上皮下及系膜区少量电子致密物沉积——KDIGO Figure 51的评估路径以“no evidence of other glomerular pathology”为前提，本例不完全符合；②首次病程记录（2024-07-22）鉴别诊断中病毒感染只列“艾滋病病毒检测阴性”，KDIGO Figure 52所列CMV、细小病毒B19、EBV、HCV等未见检测，未做遗传学检测（B19）。塌陷型本身不能据以判定继发（KDIGO第6章正文：变异型的预测价值不一致）。首次病程写的是“考虑原发性FSGS”，情况说明当作确定前提使用；临床依据只能写成“以原发性FSGS诊断成立为前提”。</w:t>
            </w:r>
          </w:p>
          <w:p>
            <w:pPr>
              <w:ind w:firstLine="0"/>
            </w:pPr>
            <w:r>
              <w:rPr>
                <w:rFonts w:ascii="宋体" w:hAnsi="宋体" w:eastAsia="宋体"/>
                <w:b w:val="0"/>
                <w:sz w:val="19"/>
              </w:rPr>
              <w:t>激素时长：入院记录（2024-07-22）现病史写泼尼松加环磷酰胺“免疫抑制方案4个月后”，肾内科关于医保审核疑点的情况说明（2025-01-10）一、写“足量激素联合CTX3个月后”，两处不一；外院诊疗资料（2024年2月至3月）第7页外院出院记录只写“醋酸泼尼松片50 mg口服”，起始日、频次未写，2024-04“因感冒未就诊”、6月“未规律行CTX”，入院时泼尼松剂量未载。以肾穿日2024-03-13到入院计，最长131天、约18.7周（核算表第33行、核算表第34行），这只是上限；按情况说明的“3个月”约13周，够中国成人肾病综合征免疫抑制治疗专家共识（2014）三、（三）1“FSGS患者足量激素治疗12周无效时定义为激素抵抗”的口径，不够KDIGO Figure 50“at least 16 weeks”（核算表第36行至核算表第41行）。尿蛋白由外院12874 mg/24 h降至入院7179 mg/24 h，降约44%（核算表第44行），但入院这次的采样日单上遮盖、无法核实，期间是否持续足量未载。现有资料不足以判断是否属于激素抵抗。另一条路径：合并播散性诺卡菌病属激素使用的相对禁忌，KDIGO Practice Point 6.2.2.4与中国成人肾病综合征免疫抑制治疗专家共识（2014）第5页图2（FSGS治疗策略流程图）“对糖皮质激素有相对禁忌证或不能耐受大剂量糖皮质激素的患者，可首选CNI”都给出CNI路径，这条路径同样以原发性FSGS为前提。两条路径只影响临床依据的强弱，不改变超适应证这一事实。</w:t>
            </w:r>
          </w:p>
        </w:tc>
      </w:tr>
      <w:tr>
        <w:tc>
          <w:tcPr>
            <w:tcW w:type="dxa" w:w="1474"/>
          </w:tcPr>
          <w:p>
            <w:pPr>
              <w:ind w:firstLine="0"/>
            </w:pPr>
            <w:r/>
            <w:r>
              <w:rPr>
                <w:rFonts w:ascii="宋体" w:hAnsi="宋体" w:eastAsia="宋体"/>
                <w:b w:val="0"/>
                <w:sz w:val="19"/>
              </w:rPr>
              <w:t>结论分级与需补材料</w:t>
            </w:r>
          </w:p>
        </w:tc>
        <w:tc>
          <w:tcPr>
            <w:tcW w:type="dxa" w:w="7937"/>
          </w:tcPr>
          <w:p>
            <w:pPr>
              <w:ind w:firstLine="0"/>
            </w:pPr>
            <w:r/>
            <w:r>
              <w:rPr>
                <w:rFonts w:ascii="宋体" w:hAnsi="宋体" w:eastAsia="宋体"/>
                <w:b w:val="0"/>
                <w:sz w:val="19"/>
              </w:rPr>
              <w:t>适应证：疑点成立，属超出说明书适应证的使用。临床依据有指南方向，但以原发性FSGS诊断成立为前提，激素抵抗未能确证。需补：B07、B08、B09、B13、B14、B19。</w:t>
            </w:r>
          </w:p>
        </w:tc>
      </w:tr>
    </w:tbl>
    <w:p/>
    <w:p>
      <w:pPr>
        <w:spacing w:before="160"/>
      </w:pPr>
      <w:r>
        <w:rPr>
          <w:rFonts w:ascii="黑体" w:hAnsi="黑体" w:eastAsia="黑体"/>
          <w:b/>
          <w:sz w:val="23"/>
        </w:rPr>
        <w:t>Y4　伊曲康唑胶囊</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栏目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疑点原文</w:t>
            </w:r>
          </w:p>
        </w:tc>
        <w:tc>
          <w:tcPr>
            <w:tcW w:type="dxa" w:w="7937"/>
          </w:tcPr>
          <w:p>
            <w:pPr>
              <w:ind w:firstLine="0"/>
            </w:pPr>
            <w:r/>
            <w:r>
              <w:rPr>
                <w:rFonts w:ascii="宋体" w:hAnsi="宋体" w:eastAsia="宋体"/>
                <w:b w:val="0"/>
                <w:sz w:val="19"/>
              </w:rPr>
              <w:t>诊断与说明书适应证不符</w:t>
            </w:r>
          </w:p>
        </w:tc>
      </w:tr>
      <w:tr>
        <w:tc>
          <w:tcPr>
            <w:tcW w:type="dxa" w:w="1474"/>
          </w:tcPr>
          <w:p>
            <w:pPr>
              <w:ind w:firstLine="0"/>
            </w:pPr>
            <w:r/>
            <w:r>
              <w:rPr>
                <w:rFonts w:ascii="宋体" w:hAnsi="宋体" w:eastAsia="宋体"/>
                <w:b w:val="0"/>
                <w:sz w:val="19"/>
              </w:rPr>
              <w:t>用药事实</w:t>
            </w:r>
          </w:p>
        </w:tc>
        <w:tc>
          <w:tcPr>
            <w:tcW w:type="dxa" w:w="7937"/>
          </w:tcPr>
          <w:p>
            <w:pPr>
              <w:ind w:firstLine="0"/>
            </w:pPr>
            <w:r/>
            <w:r>
              <w:rPr>
                <w:rFonts w:ascii="宋体" w:hAnsi="宋体" w:eastAsia="宋体"/>
                <w:b w:val="0"/>
                <w:sz w:val="19"/>
              </w:rPr>
              <w:t>2024-08-02“查体见口腔黏膜白斑，咽拭子一般细菌及真菌涂片：真菌＋孢子＋假菌丝（中量），提示口腔真菌感染。暂停头孢曲松，加用伊曲康唑胶囊，加强口腔护理”（病程记录（2024-07-23至2024-08-02）第1页扫描件2024-08-02条；检验检查报告（2024-07-22至2024-08-02）第20页）。剂量、频次、停用日期未载；无系统性真菌感染的检查记载。</w:t>
            </w:r>
          </w:p>
        </w:tc>
      </w:tr>
      <w:tr>
        <w:tc>
          <w:tcPr>
            <w:tcW w:type="dxa" w:w="1474"/>
          </w:tcPr>
          <w:p>
            <w:pPr>
              <w:ind w:firstLine="0"/>
            </w:pPr>
            <w:r/>
            <w:r>
              <w:rPr>
                <w:rFonts w:ascii="宋体" w:hAnsi="宋体" w:eastAsia="宋体"/>
                <w:b w:val="0"/>
                <w:sz w:val="19"/>
              </w:rPr>
              <w:t>说明书核对</w:t>
            </w:r>
          </w:p>
        </w:tc>
        <w:tc>
          <w:tcPr>
            <w:tcW w:type="dxa" w:w="7937"/>
          </w:tcPr>
          <w:p>
            <w:pPr>
              <w:ind w:firstLine="0"/>
            </w:pPr>
            <w:r/>
            <w:r>
              <w:rPr>
                <w:rFonts w:ascii="宋体" w:hAnsi="宋体" w:eastAsia="宋体"/>
                <w:b w:val="0"/>
                <w:sz w:val="19"/>
              </w:rPr>
              <w:t>伊曲康唑胶囊（斯皮仁诺）说明书（2019年修订）第2页【适应症】：1.侵及皮肤、毛发、甲板和粘膜的真菌感染（例举外阴阴道念珠菌病等）；2.皮肤及皮下组织真菌感染；3.系统性真菌病。同项末段“特别强调，伊曲康唑胶囊和伊曲康唑口服液不应互换使用……只证实口服液对于口腔和/或食道念珠菌病有效”，第9页【注意事项】9“互换性”再次写明。本例为口腔黏膜白斑伴涂片见假菌丝，临床即口咽部真菌感染，正是说明书写明胶囊未被证实有效的部位。注意事项2心脏影响见第三节（3）。</w:t>
            </w:r>
          </w:p>
        </w:tc>
      </w:tr>
      <w:tr>
        <w:tc>
          <w:tcPr>
            <w:tcW w:type="dxa" w:w="1474"/>
          </w:tcPr>
          <w:p>
            <w:pPr>
              <w:ind w:firstLine="0"/>
            </w:pPr>
            <w:r/>
            <w:r>
              <w:rPr>
                <w:rFonts w:ascii="宋体" w:hAnsi="宋体" w:eastAsia="宋体"/>
                <w:b w:val="0"/>
                <w:sz w:val="19"/>
              </w:rPr>
              <w:t>医保目录与支付规则核对</w:t>
            </w:r>
          </w:p>
        </w:tc>
        <w:tc>
          <w:tcPr>
            <w:tcW w:type="dxa" w:w="7937"/>
          </w:tcPr>
          <w:p>
            <w:pPr>
              <w:ind w:firstLine="0"/>
            </w:pPr>
            <w:r/>
            <w:r>
              <w:rPr>
                <w:rFonts w:ascii="宋体" w:hAnsi="宋体" w:eastAsia="宋体"/>
                <w:b w:val="0"/>
                <w:sz w:val="19"/>
              </w:rPr>
              <w:t>国家基本医疗保险、工伤保险和生育保险药品目录（2023年）PDF第42页西药部分乙类703“伊曲康唑 口服常释剂型”，备注栏无限定；口服液体剂另列一行（PDF第43页）。疑点在说明书层面。</w:t>
            </w:r>
          </w:p>
        </w:tc>
      </w:tr>
      <w:tr>
        <w:tc>
          <w:tcPr>
            <w:tcW w:type="dxa" w:w="1474"/>
          </w:tcPr>
          <w:p>
            <w:pPr>
              <w:ind w:firstLine="0"/>
            </w:pPr>
            <w:r/>
            <w:r>
              <w:rPr>
                <w:rFonts w:ascii="宋体" w:hAnsi="宋体" w:eastAsia="宋体"/>
                <w:b w:val="0"/>
                <w:sz w:val="19"/>
              </w:rPr>
              <w:t>临床依据与适用前提</w:t>
            </w:r>
          </w:p>
        </w:tc>
        <w:tc>
          <w:tcPr>
            <w:tcW w:type="dxa" w:w="7937"/>
          </w:tcPr>
          <w:p>
            <w:pPr>
              <w:ind w:firstLine="0"/>
            </w:pPr>
            <w:r/>
            <w:r>
              <w:rPr>
                <w:rFonts w:ascii="宋体" w:hAnsi="宋体" w:eastAsia="宋体"/>
                <w:b w:val="0"/>
                <w:sz w:val="19"/>
              </w:rPr>
              <w:t>病历和肾内科关于医保审核疑点的情况说明（2025-01-10）均未写选用胶囊的理由；随件材料中没有胶囊用于口腔真菌感染的依据。</w:t>
            </w:r>
          </w:p>
        </w:tc>
      </w:tr>
      <w:tr>
        <w:tc>
          <w:tcPr>
            <w:tcW w:type="dxa" w:w="1474"/>
          </w:tcPr>
          <w:p>
            <w:pPr>
              <w:ind w:firstLine="0"/>
            </w:pPr>
            <w:r/>
            <w:r>
              <w:rPr>
                <w:rFonts w:ascii="宋体" w:hAnsi="宋体" w:eastAsia="宋体"/>
                <w:b w:val="0"/>
                <w:sz w:val="19"/>
              </w:rPr>
              <w:t>结论分级与需补材料</w:t>
            </w:r>
          </w:p>
        </w:tc>
        <w:tc>
          <w:tcPr>
            <w:tcW w:type="dxa" w:w="7937"/>
          </w:tcPr>
          <w:p>
            <w:pPr>
              <w:ind w:firstLine="0"/>
            </w:pPr>
            <w:r/>
            <w:r>
              <w:rPr>
                <w:rFonts w:ascii="宋体" w:hAnsi="宋体" w:eastAsia="宋体"/>
                <w:b w:val="0"/>
                <w:sz w:val="19"/>
              </w:rPr>
              <w:t>适应证：疑点成立。需补：B10（同时用于第三节）。</w:t>
            </w:r>
          </w:p>
        </w:tc>
      </w:tr>
    </w:tbl>
    <w:p/>
    <w:p>
      <w:pPr>
        <w:spacing w:before="160"/>
      </w:pPr>
      <w:r>
        <w:rPr>
          <w:rFonts w:ascii="黑体" w:hAnsi="黑体" w:eastAsia="黑体"/>
          <w:b/>
          <w:sz w:val="23"/>
        </w:rPr>
        <w:t>Y5　注射用头孢他啶</w:t>
      </w:r>
    </w:p>
    <w:tbl>
      <w:tblPr>
        <w:tblStyle w:val="TableGrid"/>
        <w:tblW w:type="auto" w:w="0"/>
        <w:tblLayout w:type="fixed"/>
        <w:tblLook w:firstColumn="1" w:firstRow="1" w:lastColumn="0" w:lastRow="0" w:noHBand="0" w:noVBand="1" w:val="04A0"/>
      </w:tblPr>
      <w:tblGrid>
        <w:gridCol w:w="1474"/>
        <w:gridCol w:w="7938"/>
      </w:tblGrid>
      <w:tr>
        <w:tc>
          <w:tcPr>
            <w:tcW w:type="dxa" w:w="1474"/>
          </w:tcPr>
          <w:p>
            <w:r/>
            <w:r>
              <w:rPr>
                <w:rFonts w:ascii="宋体" w:hAnsi="宋体" w:eastAsia="宋体"/>
                <w:b/>
                <w:sz w:val="19"/>
              </w:rPr>
              <w:t>栏目</w:t>
            </w:r>
          </w:p>
        </w:tc>
        <w:tc>
          <w:tcPr>
            <w:tcW w:type="dxa" w:w="7937"/>
          </w:tcPr>
          <w:p>
            <w:r/>
            <w:r>
              <w:rPr>
                <w:rFonts w:ascii="宋体" w:hAnsi="宋体" w:eastAsia="宋体"/>
                <w:b/>
                <w:sz w:val="19"/>
              </w:rPr>
              <w:t>内容</w:t>
            </w:r>
          </w:p>
        </w:tc>
      </w:tr>
      <w:tr>
        <w:tc>
          <w:tcPr>
            <w:tcW w:type="dxa" w:w="1474"/>
          </w:tcPr>
          <w:p>
            <w:pPr>
              <w:ind w:firstLine="0"/>
            </w:pPr>
            <w:r/>
            <w:r>
              <w:rPr>
                <w:rFonts w:ascii="宋体" w:hAnsi="宋体" w:eastAsia="宋体"/>
                <w:b w:val="0"/>
                <w:sz w:val="19"/>
              </w:rPr>
              <w:t>疑点原文</w:t>
            </w:r>
          </w:p>
        </w:tc>
        <w:tc>
          <w:tcPr>
            <w:tcW w:type="dxa" w:w="7937"/>
          </w:tcPr>
          <w:p>
            <w:pPr>
              <w:ind w:firstLine="0"/>
            </w:pPr>
            <w:r/>
            <w:r>
              <w:rPr>
                <w:rFonts w:ascii="宋体" w:hAnsi="宋体" w:eastAsia="宋体"/>
                <w:b w:val="0"/>
                <w:sz w:val="19"/>
              </w:rPr>
              <w:t>给药途径与说明书不符</w:t>
            </w:r>
          </w:p>
        </w:tc>
      </w:tr>
      <w:tr>
        <w:tc>
          <w:tcPr>
            <w:tcW w:type="dxa" w:w="1474"/>
          </w:tcPr>
          <w:p>
            <w:pPr>
              <w:ind w:firstLine="0"/>
            </w:pPr>
            <w:r/>
            <w:r>
              <w:rPr>
                <w:rFonts w:ascii="宋体" w:hAnsi="宋体" w:eastAsia="宋体"/>
                <w:b w:val="0"/>
                <w:sz w:val="19"/>
              </w:rPr>
              <w:t>用药事实</w:t>
            </w:r>
          </w:p>
        </w:tc>
        <w:tc>
          <w:tcPr>
            <w:tcW w:type="dxa" w:w="7937"/>
          </w:tcPr>
          <w:p>
            <w:pPr>
              <w:ind w:firstLine="0"/>
            </w:pPr>
            <w:r/>
            <w:r>
              <w:rPr>
                <w:rFonts w:ascii="宋体" w:hAnsi="宋体" w:eastAsia="宋体"/>
                <w:b w:val="0"/>
                <w:sz w:val="19"/>
              </w:rPr>
              <w:t>2024-07-26“胸腔穿刺后，今日予头孢他啶1 g胸腔灌注”（病程记录（2024-07-23至2024-08-02）第1页扫描件2024-07-26条；出院记录诊疗经过（4）同）。穿刺日期、灌注次数未载；当时胸水病原未明（培养07-29回报）。</w:t>
            </w:r>
          </w:p>
        </w:tc>
      </w:tr>
      <w:tr>
        <w:tc>
          <w:tcPr>
            <w:tcW w:type="dxa" w:w="1474"/>
          </w:tcPr>
          <w:p>
            <w:pPr>
              <w:ind w:firstLine="0"/>
            </w:pPr>
            <w:r/>
            <w:r>
              <w:rPr>
                <w:rFonts w:ascii="宋体" w:hAnsi="宋体" w:eastAsia="宋体"/>
                <w:b w:val="0"/>
                <w:sz w:val="19"/>
              </w:rPr>
              <w:t>说明书核对</w:t>
            </w:r>
          </w:p>
        </w:tc>
        <w:tc>
          <w:tcPr>
            <w:tcW w:type="dxa" w:w="7937"/>
          </w:tcPr>
          <w:p>
            <w:pPr>
              <w:ind w:firstLine="0"/>
            </w:pPr>
            <w:r/>
            <w:r>
              <w:rPr>
                <w:rFonts w:ascii="宋体" w:hAnsi="宋体" w:eastAsia="宋体"/>
                <w:b w:val="0"/>
                <w:sz w:val="19"/>
              </w:rPr>
              <w:t>注射用头孢他啶说明书（2015年修订）第1页【用法用量】“静脉注射或静脉滴注”，没有胸腔内给药。</w:t>
            </w:r>
          </w:p>
        </w:tc>
      </w:tr>
      <w:tr>
        <w:tc>
          <w:tcPr>
            <w:tcW w:type="dxa" w:w="1474"/>
          </w:tcPr>
          <w:p>
            <w:pPr>
              <w:ind w:firstLine="0"/>
            </w:pPr>
            <w:r/>
            <w:r>
              <w:rPr>
                <w:rFonts w:ascii="宋体" w:hAnsi="宋体" w:eastAsia="宋体"/>
                <w:b w:val="0"/>
                <w:sz w:val="19"/>
              </w:rPr>
              <w:t>医保目录与支付规则核对</w:t>
            </w:r>
          </w:p>
        </w:tc>
        <w:tc>
          <w:tcPr>
            <w:tcW w:type="dxa" w:w="7937"/>
          </w:tcPr>
          <w:p>
            <w:pPr>
              <w:ind w:firstLine="0"/>
            </w:pPr>
            <w:r/>
            <w:r>
              <w:rPr>
                <w:rFonts w:ascii="宋体" w:hAnsi="宋体" w:eastAsia="宋体"/>
                <w:b w:val="0"/>
                <w:sz w:val="19"/>
              </w:rPr>
              <w:t>国家基本医疗保险、工伤保险和生育保险药品目录（2023年）PDF第39页西药部分乙类645“头孢他啶 注射剂”，备注栏无限定。</w:t>
            </w:r>
          </w:p>
        </w:tc>
      </w:tr>
      <w:tr>
        <w:tc>
          <w:tcPr>
            <w:tcW w:type="dxa" w:w="1474"/>
          </w:tcPr>
          <w:p>
            <w:pPr>
              <w:ind w:firstLine="0"/>
            </w:pPr>
            <w:r/>
            <w:r>
              <w:rPr>
                <w:rFonts w:ascii="宋体" w:hAnsi="宋体" w:eastAsia="宋体"/>
                <w:b w:val="0"/>
                <w:sz w:val="19"/>
              </w:rPr>
              <w:t>临床依据与适用前提</w:t>
            </w:r>
          </w:p>
        </w:tc>
        <w:tc>
          <w:tcPr>
            <w:tcW w:type="dxa" w:w="7937"/>
          </w:tcPr>
          <w:p>
            <w:pPr>
              <w:ind w:firstLine="0"/>
            </w:pPr>
            <w:r/>
            <w:r>
              <w:rPr>
                <w:rFonts w:ascii="宋体" w:hAnsi="宋体" w:eastAsia="宋体"/>
                <w:b w:val="0"/>
                <w:sz w:val="19"/>
              </w:rPr>
              <w:t>病历与肾内科关于医保审核疑点的情况说明（2025-01-10）都没有写胸腔内注入的理由；随件材料中没有支持这一给药途径的条款。</w:t>
            </w:r>
          </w:p>
        </w:tc>
      </w:tr>
      <w:tr>
        <w:tc>
          <w:tcPr>
            <w:tcW w:type="dxa" w:w="1474"/>
          </w:tcPr>
          <w:p>
            <w:pPr>
              <w:ind w:firstLine="0"/>
            </w:pPr>
            <w:r/>
            <w:r>
              <w:rPr>
                <w:rFonts w:ascii="宋体" w:hAnsi="宋体" w:eastAsia="宋体"/>
                <w:b w:val="0"/>
                <w:sz w:val="19"/>
              </w:rPr>
              <w:t>结论分级与需补材料</w:t>
            </w:r>
          </w:p>
        </w:tc>
        <w:tc>
          <w:tcPr>
            <w:tcW w:type="dxa" w:w="7937"/>
          </w:tcPr>
          <w:p>
            <w:pPr>
              <w:ind w:firstLine="0"/>
            </w:pPr>
            <w:r/>
            <w:r>
              <w:rPr>
                <w:rFonts w:ascii="宋体" w:hAnsi="宋体" w:eastAsia="宋体"/>
                <w:b w:val="0"/>
                <w:sz w:val="19"/>
              </w:rPr>
              <w:t>给药途径：疑点成立，随件材料中无申辩依据。建议认扣，并交院内抗菌药物管理工作组复核该给药方式。需补：B15（仅在科室坚持申诉时）。</w:t>
            </w:r>
          </w:p>
        </w:tc>
      </w:tr>
    </w:tbl>
    <w:p/>
    <w:p>
      <w:pPr>
        <w:spacing w:before="160"/>
      </w:pPr>
      <w:r>
        <w:rPr>
          <w:rFonts w:ascii="黑体" w:hAnsi="黑体" w:eastAsia="黑体"/>
          <w:b/>
          <w:sz w:val="24"/>
        </w:rPr>
        <w:t>三、用药全过程中需提请注意的问题</w:t>
      </w:r>
    </w:p>
    <w:p>
      <w:pPr>
        <w:ind w:firstLine="420"/>
      </w:pPr>
      <w:r>
        <w:rPr>
          <w:rFonts w:ascii="宋体" w:hAnsi="宋体" w:eastAsia="宋体"/>
          <w:b w:val="0"/>
        </w:rPr>
        <w:t>以下几处不在本批系统疑点里，但关系到申诉材料能否写“用药安全可控”，也关系到后续随访，一并提请医保办与肾内科注意。</w:t>
      </w:r>
    </w:p>
    <w:p>
      <w:pPr>
        <w:ind w:firstLine="420"/>
      </w:pPr>
      <w:r>
        <w:rPr>
          <w:rFonts w:ascii="宋体" w:hAnsi="宋体" w:eastAsia="宋体"/>
          <w:b/>
        </w:rPr>
        <w:t>（1）他克莫司与复方新诺明同时在用。</w:t>
      </w:r>
      <w:r>
        <w:rPr>
          <w:rFonts w:ascii="宋体" w:hAnsi="宋体" w:eastAsia="宋体"/>
          <w:b w:val="0"/>
        </w:rPr>
        <w:t>复方磺胺甲噁唑2024-07-29起用，至情况说明落款日仍在服，随访期内与他克莫司同时在用；他克莫司在审核期内已有结算，凡他克莫司在用的日子复方磺胺甲噁唑都在用，同期可以确认，重叠起点取决于他克莫司起用日（B07）。他克莫司胶囊（普乐可复）说明书（2024年修订）对这一组合有两处要求：其一，第21页【药物相互作用】“他克莫司与其他可增加血钾水平的药物（如甲氧苄啶和复方新诺明[甲氧苄啶/磺胺甲噁唑]）联合使用时应谨慎……建议密切监测血钾水平”，第15页【注意事项】高钾血症段“应监测血钾水平”；其二，第18页相互作用表把“磺胺甲噁唑+甲氧苄啶”列为已知有肾毒性的药品，第14–15页【注意事项】肾毒性段要求无法避免联合用药时，“在联合用药开始时、整个联合用药期间和停止联合用药时，密切监测他克莫司的全血谷浓度和肾功能”。这两条在复方磺胺甲噁唑片说明书（2024年修订）里看不到：该说明书全篇没有高钾的表述，【药物相互作用】（14）只写甲氧苄啶与环孢素合用增加肾毒性。记录方面，全部材料没有一次血钾；肌酐只有入院一次65 μmol/L（检验检查报告（2024-07-22至2024-08-02）第6页），在他克莫司起用之前。住院方案中有厄贝沙坦片75 mg每日2次（血管紧张素受体拮抗剂）和苯磺酸氨氯地平片5 mg每日2次（出院记录诊疗经过（2）），起止未载、出院带药栏遮盖、无法核实，入院前还在服沙库巴曲缬沙坦钠片（入院记录（2024-07-22）既往史）；他克莫司起用时这些药是否仍在用，材料未载（B11）。如仍在用，同一说明书第15页高钾血症段要求使用血管紧张素受体拮抗剂前慎重考虑，高血压段写“钙通道阻滞剂可能会增加他克莫司的血药浓度，因此应减少本品的剂量”（相互作用表点名的钙通道阻滞剂为硝苯地平等，未列氨氯地平，此处只能引注意事项）。结论：合用期间说明书要求的血钾、肾功能监测在随件材料中一项也没有（B08），申诉材料中“安全可控”一说目前没有记录支撑。这不改变Y1、Y3的超适应证结论。</w:t>
      </w:r>
    </w:p>
    <w:p>
      <w:pPr>
        <w:ind w:firstLine="420"/>
      </w:pPr>
      <w:r>
        <w:rPr>
          <w:rFonts w:ascii="宋体" w:hAnsi="宋体" w:eastAsia="宋体"/>
          <w:b/>
        </w:rPr>
        <w:t>（2）伊曲康唑与他克莫司。</w:t>
      </w:r>
      <w:r>
        <w:rPr>
          <w:rFonts w:ascii="宋体" w:hAnsi="宋体" w:eastAsia="宋体"/>
          <w:b w:val="0"/>
        </w:rPr>
        <w:t>伊曲康唑08-02起用，停用日期未载；他克莫司起用日有“抗感染治疗1个月后”“感染控制1个月后”两种写法，日期未载。两药是否有重叠，现有资料不足以判断（B07、B10）。如有重叠：他克莫司胶囊（普乐可复）说明书（2024年修订）第10页【注意事项】“应避免他克莫司与强效CYP3A4抑制剂（如……伊曲康唑……）联合用药。如果不能避免联合用药……频繁监测他克莫司的血药浓度，并适当调整他克莫司的剂量”；伊曲康唑胶囊（斯皮仁诺）说明书（2019年修订）第26页【药物相互作用】他克莫司（口服）行“慎用，监测免疫抑制剂的不良反应，可能需要减少免疫抑制剂的剂量”。随件材料中没有任何一次他克莫司浓度结果，情况说明“应定期进行血药浓度监测”是科室自述的要求，不能当作已监测的记录。</w:t>
      </w:r>
    </w:p>
    <w:p>
      <w:pPr>
        <w:ind w:firstLine="420"/>
      </w:pPr>
      <w:r>
        <w:rPr>
          <w:rFonts w:ascii="宋体" w:hAnsi="宋体" w:eastAsia="宋体"/>
          <w:b/>
        </w:rPr>
        <w:t>（3）伊曲康唑与心功能、降压药。</w:t>
      </w:r>
      <w:r>
        <w:rPr>
          <w:rFonts w:ascii="宋体" w:hAnsi="宋体" w:eastAsia="宋体"/>
          <w:b w:val="0"/>
        </w:rPr>
        <w:t>伊曲康唑胶囊（斯皮仁诺）说明书（2019年修订）第1页警示语与第8页【注意事项】2“心脏影响”：存在充血性心力衰竭风险的患者应权衡风险和获益，危险因素包括心脏疾病、严重的肺部疾病（如慢性阻塞性肺病）、肾功能衰竭“以及其他水肿性疾病”，并应告知心衰体征和症状、治疗期间监测；“伊曲康唑和钙通道阻滞剂的合用应谨慎”；第24页相互作用表“其他二氢吡啶类……慎用，监测……可能需要减少二氢吡啶……的剂量”。本例入院“双上肢及双下肢重度凹陷性水肿”（入院记录（2024-07-22）），即肾病综合征的水肿，属说明书所列“其他水肿性疾病”；CT见肺气肿、肺大泡（检验检查报告（2024-07-22至2024-08-02）第11页），但无慢性阻塞性肺病诊断与肺功能资料，是否属说明书所说的严重肺部疾病不能判断。住院方案有苯磺酸氨氯地平，08-02加用伊曲康唑时是否仍在用未载（B11）。材料中没有心脏超声，心电图只有“窦性心律、完全性右束支传导阻滞”（检验检查报告（2024-07-22至2024-08-02）第9页），也没有用药期间心衰体征的观察记录（B12）。说明书禁用的对象是有心室功能障碍证据的患者，材料中没有这类证据，所以这里不是禁用问题，是需要权衡、告知与监测而记录缺失的问题。同一说明书第27页阿托伐他汀行“慎用”，住院方案中的阿托伐他汀钙片同样起止未载。</w:t>
      </w:r>
    </w:p>
    <w:p>
      <w:pPr>
        <w:ind w:firstLine="420"/>
      </w:pPr>
      <w:r>
        <w:rPr>
          <w:rFonts w:ascii="宋体" w:hAnsi="宋体" w:eastAsia="宋体"/>
          <w:b/>
        </w:rPr>
        <w:t>（4）利奈唑胺与血液系统。</w:t>
      </w:r>
      <w:r>
        <w:rPr>
          <w:rFonts w:ascii="宋体" w:hAnsi="宋体" w:eastAsia="宋体"/>
          <w:b w:val="0"/>
        </w:rPr>
        <w:t>按Y2所引说明书，利奈唑胺治疗中须逐周复查全血细胞，本例用药前已有贫血线索（入院Hb 111 g/L、CT提示贫血），且同期用复方磺胺甲噁唑——复方磺胺甲噁唑片说明书（2024年修订）第3页【药物相互作用】（4）“与骨髓抑制药合用可能增强此类药物对造血系统的不良反应”，【注意事项】（7）要求全血象检查。07-29以后未查过血常规；输注红细胞的日期与缘由均未载，输血是否与利奈唑胺相关无从判断（B04）。另：利奈唑胺葡萄糖注射液说明书（2017年修订）第1页左起第一栏静脉给药段写明利奈唑胺葡萄糖注射液与头孢曲松钠“合用可导致二者的化学性质不配伍”，两药07-29至08-02同期静脉使用，是否经同一通路未载，提请护理部门核查执行记录，不属本次审核内容。</w:t>
      </w:r>
    </w:p>
    <w:p>
      <w:pPr>
        <w:ind w:firstLine="420"/>
      </w:pPr>
      <w:r>
        <w:rPr>
          <w:rFonts w:ascii="宋体" w:hAnsi="宋体" w:eastAsia="宋体"/>
          <w:b/>
        </w:rPr>
        <w:t>（5）美罗培南。</w:t>
      </w:r>
      <w:r>
        <w:rPr>
          <w:rFonts w:ascii="宋体" w:hAnsi="宋体" w:eastAsia="宋体"/>
          <w:b w:val="0"/>
        </w:rPr>
        <w:t>美罗培南只出现在两处事后总结句：出院记录诊疗经过末段与肾内科关于医保审核疑点的情况说明（2025-01-10）二、第2段“临床先后给予复方磺胺甲噁唑片＋利奈唑胺＋头孢曲松/复方磺胺甲噁唑片＋利奈唑胺＋美罗培南抗感染”。逐日病程（病程记录（2024-07-23至2024-08-02），07-23至08-02五条）没有美罗培南医嘱；“先后”可能指08-02停头孢曲松以后，但起止、剂量、途径均未载。情况说明二、第1段“联合用药（美罗培南、利奈唑胺）”是通用方案的写法，不能当作本例用过的证据。美罗培南不在本批疑点里；在医嘱与计费核实前（B05），不宜在申诉材料中把“利奈唑胺＋美罗培南联合方案”作为已执行的事实引用，也不评价其剂量。随件注射用美罗培南（倍能）说明书（2019年修订）【适应症】所列为对美罗培南敏感细菌引起的肺炎、皮肤软组织感染等，若核实确有使用，再按说明书另行评估。</w:t>
      </w:r>
    </w:p>
    <w:p>
      <w:pPr>
        <w:spacing w:before="160"/>
      </w:pPr>
      <w:r>
        <w:rPr>
          <w:rFonts w:ascii="黑体" w:hAnsi="黑体" w:eastAsia="黑体"/>
          <w:b/>
          <w:sz w:val="24"/>
        </w:rPr>
        <w:t>四、申诉与认扣划分建议（药学意见，由医保办决定）</w:t>
      </w:r>
    </w:p>
    <w:p>
      <w:pPr>
        <w:ind w:firstLine="420"/>
      </w:pPr>
      <w:r>
        <w:rPr>
          <w:rFonts w:ascii="宋体" w:hAnsi="宋体" w:eastAsia="宋体"/>
          <w:b w:val="0"/>
        </w:rPr>
        <w:t>先把三层关系说清楚，供医保办写申诉书时把握分寸。第一层是临床依据：指南、共识与病原学结果说明“为什么用”。第二层是执业合规：中华人民共和国医师法（2021年）第二十九条第二款允许在“尚无有效或者更好治疗手段等特殊情况下，医师取得患者明确知情同意后”采用说明书未明确但有循证证据的用法，并要求医疗机构建立管理制度审核处方与医嘱。第三层是基金支付：基本医疗保险用药管理暂行办法（2020年）第二十三条（二）以“诊断、治疗与病情相符，符合药品法定适应症及医保限定支付范围”为统筹基金支付的条件之一，（五）要求“按规定程序经过药师或执业药师的审查”；国家基本医疗保险、工伤保险和生育保险药品目录（2023年）凡例首段写“临床医师根据病情开具处方、参保人员购买与使用药品不受《药品目录》的限制”，凡例（十一）1写“适应症限定不是对药品法定说明书的修改”。前两层成立，不等于第三层成立。肾内科关于医保审核疑点的情况说明（2025-01-10）末段“上述用药均有指南依据，恳请医保部门予以支付”把三层合在了一起。五个疑点药的目录行都没有限定支付范围，本批疑点全部在说明书层面；用药超出说明书这一事实，并不因“有指南依据”而消失；申诉书应照实陈述，并附上循证资料、院内超说明书用药审批或备案记录及患者知情同意书（随件材料中均未见，B14），能否支付由医保部门判定，药学部不作支付结果的预判。</w:t>
      </w:r>
    </w:p>
    <w:tbl>
      <w:tblPr>
        <w:tblStyle w:val="TableGrid"/>
        <w:tblW w:type="auto" w:w="0"/>
        <w:tblLayout w:type="fixed"/>
        <w:tblLook w:firstColumn="1" w:firstRow="1" w:lastColumn="0" w:lastRow="0" w:noHBand="0" w:noVBand="1" w:val="04A0"/>
      </w:tblPr>
      <w:tblGrid>
        <w:gridCol w:w="1587"/>
        <w:gridCol w:w="1134"/>
        <w:gridCol w:w="1247"/>
        <w:gridCol w:w="3969"/>
        <w:gridCol w:w="1474"/>
      </w:tblGrid>
      <w:tr>
        <w:tc>
          <w:tcPr>
            <w:tcW w:type="dxa" w:w="1587"/>
          </w:tcPr>
          <w:p>
            <w:r/>
            <w:r>
              <w:rPr>
                <w:rFonts w:ascii="宋体" w:hAnsi="宋体" w:eastAsia="宋体"/>
                <w:b/>
                <w:sz w:val="18"/>
              </w:rPr>
              <w:t>药品</w:t>
            </w:r>
          </w:p>
        </w:tc>
        <w:tc>
          <w:tcPr>
            <w:tcW w:type="dxa" w:w="1134"/>
          </w:tcPr>
          <w:p>
            <w:r/>
            <w:r>
              <w:rPr>
                <w:rFonts w:ascii="宋体" w:hAnsi="宋体" w:eastAsia="宋体"/>
                <w:b/>
                <w:sz w:val="18"/>
              </w:rPr>
              <w:t>疑点类型</w:t>
            </w:r>
          </w:p>
        </w:tc>
        <w:tc>
          <w:tcPr>
            <w:tcW w:type="dxa" w:w="1247"/>
          </w:tcPr>
          <w:p>
            <w:r/>
            <w:r>
              <w:rPr>
                <w:rFonts w:ascii="宋体" w:hAnsi="宋体" w:eastAsia="宋体"/>
                <w:b/>
                <w:sz w:val="18"/>
              </w:rPr>
              <w:t>结论</w:t>
            </w:r>
          </w:p>
        </w:tc>
        <w:tc>
          <w:tcPr>
            <w:tcW w:type="dxa" w:w="3969"/>
          </w:tcPr>
          <w:p>
            <w:r/>
            <w:r>
              <w:rPr>
                <w:rFonts w:ascii="宋体" w:hAnsi="宋体" w:eastAsia="宋体"/>
                <w:b/>
                <w:sz w:val="18"/>
              </w:rPr>
              <w:t>药学意见</w:t>
            </w:r>
          </w:p>
        </w:tc>
        <w:tc>
          <w:tcPr>
            <w:tcW w:type="dxa" w:w="1474"/>
          </w:tcPr>
          <w:p>
            <w:r/>
            <w:r>
              <w:rPr>
                <w:rFonts w:ascii="宋体" w:hAnsi="宋体" w:eastAsia="宋体"/>
                <w:b/>
                <w:sz w:val="18"/>
              </w:rPr>
              <w:t>申诉前须到位</w:t>
            </w:r>
          </w:p>
        </w:tc>
      </w:tr>
      <w:tr>
        <w:tc>
          <w:tcPr>
            <w:tcW w:type="dxa" w:w="1587"/>
          </w:tcPr>
          <w:p>
            <w:pPr>
              <w:ind w:firstLine="0"/>
            </w:pPr>
            <w:r/>
            <w:r>
              <w:rPr>
                <w:rFonts w:ascii="宋体" w:hAnsi="宋体" w:eastAsia="宋体"/>
                <w:b w:val="0"/>
                <w:sz w:val="18"/>
              </w:rPr>
              <w:t>注射用头孢他啶</w:t>
            </w:r>
          </w:p>
        </w:tc>
        <w:tc>
          <w:tcPr>
            <w:tcW w:type="dxa" w:w="1134"/>
          </w:tcPr>
          <w:p>
            <w:pPr>
              <w:ind w:firstLine="0"/>
            </w:pPr>
            <w:r/>
            <w:r>
              <w:rPr>
                <w:rFonts w:ascii="宋体" w:hAnsi="宋体" w:eastAsia="宋体"/>
                <w:b w:val="0"/>
                <w:sz w:val="18"/>
              </w:rPr>
              <w:t>给药途径</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建议主动认扣；另交抗菌药物管理工作组复核</w:t>
            </w:r>
          </w:p>
        </w:tc>
        <w:tc>
          <w:tcPr>
            <w:tcW w:type="dxa" w:w="1474"/>
          </w:tcPr>
          <w:p>
            <w:pPr>
              <w:ind w:firstLine="0"/>
            </w:pPr>
            <w:r/>
            <w:r>
              <w:rPr>
                <w:rFonts w:ascii="宋体" w:hAnsi="宋体" w:eastAsia="宋体"/>
                <w:b w:val="0"/>
                <w:sz w:val="18"/>
              </w:rPr>
              <w:t>—</w:t>
            </w:r>
          </w:p>
        </w:tc>
      </w:tr>
      <w:tr>
        <w:tc>
          <w:tcPr>
            <w:tcW w:type="dxa" w:w="1587"/>
          </w:tcPr>
          <w:p>
            <w:pPr>
              <w:ind w:firstLine="0"/>
            </w:pPr>
            <w:r/>
            <w:r>
              <w:rPr>
                <w:rFonts w:ascii="宋体" w:hAnsi="宋体" w:eastAsia="宋体"/>
                <w:b w:val="0"/>
                <w:sz w:val="18"/>
              </w:rPr>
              <w:t>伊曲康唑胶囊</w:t>
            </w:r>
          </w:p>
        </w:tc>
        <w:tc>
          <w:tcPr>
            <w:tcW w:type="dxa" w:w="1134"/>
          </w:tcPr>
          <w:p>
            <w:pPr>
              <w:ind w:firstLine="0"/>
            </w:pPr>
            <w:r/>
            <w:r>
              <w:rPr>
                <w:rFonts w:ascii="宋体" w:hAnsi="宋体" w:eastAsia="宋体"/>
                <w:b w:val="0"/>
                <w:sz w:val="18"/>
              </w:rPr>
              <w:t>适应证</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建议认扣（说明书明示胶囊未证实用于口腔念珠菌病，无可申辩的依据）</w:t>
            </w:r>
          </w:p>
        </w:tc>
        <w:tc>
          <w:tcPr>
            <w:tcW w:type="dxa" w:w="1474"/>
          </w:tcPr>
          <w:p>
            <w:pPr>
              <w:ind w:firstLine="0"/>
            </w:pPr>
            <w:r/>
            <w:r>
              <w:rPr>
                <w:rFonts w:ascii="宋体" w:hAnsi="宋体" w:eastAsia="宋体"/>
                <w:b w:val="0"/>
                <w:sz w:val="18"/>
              </w:rPr>
              <w:t>—</w:t>
            </w:r>
          </w:p>
        </w:tc>
      </w:tr>
      <w:tr>
        <w:tc>
          <w:tcPr>
            <w:tcW w:type="dxa" w:w="1587"/>
          </w:tcPr>
          <w:p>
            <w:pPr>
              <w:ind w:firstLine="0"/>
            </w:pPr>
            <w:r/>
            <w:r>
              <w:rPr>
                <w:rFonts w:ascii="宋体" w:hAnsi="宋体" w:eastAsia="宋体"/>
                <w:b w:val="0"/>
                <w:sz w:val="18"/>
              </w:rPr>
              <w:t>复方磺胺甲噁唑片</w:t>
            </w:r>
          </w:p>
        </w:tc>
        <w:tc>
          <w:tcPr>
            <w:tcW w:type="dxa" w:w="1134"/>
          </w:tcPr>
          <w:p>
            <w:pPr>
              <w:ind w:firstLine="0"/>
            </w:pPr>
            <w:r/>
            <w:r>
              <w:rPr>
                <w:rFonts w:ascii="宋体" w:hAnsi="宋体" w:eastAsia="宋体"/>
                <w:b w:val="0"/>
                <w:sz w:val="18"/>
              </w:rPr>
              <w:t>适应证</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B14能补齐的，可按超说明书用药如实申诉，附两处培养结果；补不齐的认扣</w:t>
            </w:r>
          </w:p>
        </w:tc>
        <w:tc>
          <w:tcPr>
            <w:tcW w:type="dxa" w:w="1474"/>
          </w:tcPr>
          <w:p>
            <w:pPr>
              <w:ind w:firstLine="0"/>
            </w:pPr>
            <w:r/>
            <w:r>
              <w:rPr>
                <w:rFonts w:ascii="宋体" w:hAnsi="宋体" w:eastAsia="宋体"/>
                <w:b w:val="0"/>
                <w:sz w:val="18"/>
              </w:rPr>
              <w:t>B14</w:t>
            </w:r>
          </w:p>
        </w:tc>
      </w:tr>
      <w:tr>
        <w:tc>
          <w:tcPr>
            <w:tcW w:type="dxa" w:w="1587"/>
          </w:tcPr>
          <w:p>
            <w:pPr>
              <w:ind w:firstLine="0"/>
            </w:pPr>
            <w:r/>
            <w:r>
              <w:rPr>
                <w:rFonts w:ascii="宋体" w:hAnsi="宋体" w:eastAsia="宋体"/>
                <w:b w:val="0"/>
                <w:sz w:val="18"/>
              </w:rPr>
              <w:t>复方磺胺甲噁唑片</w:t>
            </w:r>
          </w:p>
        </w:tc>
        <w:tc>
          <w:tcPr>
            <w:tcW w:type="dxa" w:w="1134"/>
          </w:tcPr>
          <w:p>
            <w:pPr>
              <w:ind w:firstLine="0"/>
            </w:pPr>
            <w:r/>
            <w:r>
              <w:rPr>
                <w:rFonts w:ascii="宋体" w:hAnsi="宋体" w:eastAsia="宋体"/>
                <w:b w:val="0"/>
                <w:sz w:val="18"/>
              </w:rPr>
              <w:t>用法用量</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日剂量为说明书细菌感染方案2倍，需科室书面说明剂量理由；说明不了的认扣</w:t>
            </w:r>
          </w:p>
        </w:tc>
        <w:tc>
          <w:tcPr>
            <w:tcW w:type="dxa" w:w="1474"/>
          </w:tcPr>
          <w:p>
            <w:pPr>
              <w:ind w:firstLine="0"/>
            </w:pPr>
            <w:r/>
            <w:r>
              <w:rPr>
                <w:rFonts w:ascii="宋体" w:hAnsi="宋体" w:eastAsia="宋体"/>
                <w:b w:val="0"/>
                <w:sz w:val="18"/>
              </w:rPr>
              <w:t>B01、B14</w:t>
            </w:r>
          </w:p>
        </w:tc>
      </w:tr>
      <w:tr>
        <w:tc>
          <w:tcPr>
            <w:tcW w:type="dxa" w:w="1587"/>
          </w:tcPr>
          <w:p>
            <w:pPr>
              <w:ind w:firstLine="0"/>
            </w:pPr>
            <w:r/>
            <w:r>
              <w:rPr>
                <w:rFonts w:ascii="宋体" w:hAnsi="宋体" w:eastAsia="宋体"/>
                <w:b w:val="0"/>
                <w:sz w:val="18"/>
              </w:rPr>
              <w:t>利奈唑胺葡萄糖注射液</w:t>
            </w:r>
          </w:p>
        </w:tc>
        <w:tc>
          <w:tcPr>
            <w:tcW w:type="dxa" w:w="1134"/>
          </w:tcPr>
          <w:p>
            <w:pPr>
              <w:ind w:firstLine="0"/>
            </w:pPr>
            <w:r/>
            <w:r>
              <w:rPr>
                <w:rFonts w:ascii="宋体" w:hAnsi="宋体" w:eastAsia="宋体"/>
                <w:b w:val="0"/>
                <w:sz w:val="18"/>
              </w:rPr>
              <w:t>适应证</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同复方磺胺甲噁唑片适应证项</w:t>
            </w:r>
          </w:p>
        </w:tc>
        <w:tc>
          <w:tcPr>
            <w:tcW w:type="dxa" w:w="1474"/>
          </w:tcPr>
          <w:p>
            <w:pPr>
              <w:ind w:firstLine="0"/>
            </w:pPr>
            <w:r/>
            <w:r>
              <w:rPr>
                <w:rFonts w:ascii="宋体" w:hAnsi="宋体" w:eastAsia="宋体"/>
                <w:b w:val="0"/>
                <w:sz w:val="18"/>
              </w:rPr>
              <w:t>B14</w:t>
            </w:r>
          </w:p>
        </w:tc>
      </w:tr>
      <w:tr>
        <w:tc>
          <w:tcPr>
            <w:tcW w:type="dxa" w:w="1587"/>
          </w:tcPr>
          <w:p>
            <w:pPr>
              <w:ind w:firstLine="0"/>
            </w:pPr>
            <w:r/>
            <w:r>
              <w:rPr>
                <w:rFonts w:ascii="宋体" w:hAnsi="宋体" w:eastAsia="宋体"/>
                <w:b w:val="0"/>
                <w:sz w:val="18"/>
              </w:rPr>
              <w:t>利奈唑胺葡萄糖注射液</w:t>
            </w:r>
          </w:p>
        </w:tc>
        <w:tc>
          <w:tcPr>
            <w:tcW w:type="dxa" w:w="1134"/>
          </w:tcPr>
          <w:p>
            <w:pPr>
              <w:ind w:firstLine="0"/>
            </w:pPr>
            <w:r/>
            <w:r>
              <w:rPr>
                <w:rFonts w:ascii="宋体" w:hAnsi="宋体" w:eastAsia="宋体"/>
                <w:b w:val="0"/>
                <w:sz w:val="18"/>
              </w:rPr>
              <w:t>用法用量；疗程</w:t>
            </w:r>
          </w:p>
        </w:tc>
        <w:tc>
          <w:tcPr>
            <w:tcW w:type="dxa" w:w="1247"/>
          </w:tcPr>
          <w:p>
            <w:pPr>
              <w:ind w:firstLine="0"/>
            </w:pPr>
            <w:r/>
            <w:r>
              <w:rPr>
                <w:rFonts w:ascii="宋体" w:hAnsi="宋体" w:eastAsia="宋体"/>
                <w:b w:val="0"/>
                <w:sz w:val="18"/>
              </w:rPr>
              <w:t>材料不足无法判定</w:t>
            </w:r>
          </w:p>
        </w:tc>
        <w:tc>
          <w:tcPr>
            <w:tcW w:type="dxa" w:w="3969"/>
          </w:tcPr>
          <w:p>
            <w:pPr>
              <w:ind w:firstLine="0"/>
            </w:pPr>
            <w:r/>
            <w:r>
              <w:rPr>
                <w:rFonts w:ascii="宋体" w:hAnsi="宋体" w:eastAsia="宋体"/>
                <w:b w:val="0"/>
                <w:sz w:val="18"/>
              </w:rPr>
              <w:t>先补后定：品规与给药量、计费天数核清后再判</w:t>
            </w:r>
          </w:p>
        </w:tc>
        <w:tc>
          <w:tcPr>
            <w:tcW w:type="dxa" w:w="1474"/>
          </w:tcPr>
          <w:p>
            <w:pPr>
              <w:ind w:firstLine="0"/>
            </w:pPr>
            <w:r/>
            <w:r>
              <w:rPr>
                <w:rFonts w:ascii="宋体" w:hAnsi="宋体" w:eastAsia="宋体"/>
                <w:b w:val="0"/>
                <w:sz w:val="18"/>
              </w:rPr>
              <w:t>B02、B03</w:t>
            </w:r>
          </w:p>
        </w:tc>
      </w:tr>
      <w:tr>
        <w:tc>
          <w:tcPr>
            <w:tcW w:type="dxa" w:w="1587"/>
          </w:tcPr>
          <w:p>
            <w:pPr>
              <w:ind w:firstLine="0"/>
            </w:pPr>
            <w:r/>
            <w:r>
              <w:rPr>
                <w:rFonts w:ascii="宋体" w:hAnsi="宋体" w:eastAsia="宋体"/>
                <w:b w:val="0"/>
                <w:sz w:val="18"/>
              </w:rPr>
              <w:t>他克莫司胶囊</w:t>
            </w:r>
          </w:p>
        </w:tc>
        <w:tc>
          <w:tcPr>
            <w:tcW w:type="dxa" w:w="1134"/>
          </w:tcPr>
          <w:p>
            <w:pPr>
              <w:ind w:firstLine="0"/>
            </w:pPr>
            <w:r/>
            <w:r>
              <w:rPr>
                <w:rFonts w:ascii="宋体" w:hAnsi="宋体" w:eastAsia="宋体"/>
                <w:b w:val="0"/>
                <w:sz w:val="18"/>
              </w:rPr>
              <w:t>适应证</w:t>
            </w:r>
          </w:p>
        </w:tc>
        <w:tc>
          <w:tcPr>
            <w:tcW w:type="dxa" w:w="1247"/>
          </w:tcPr>
          <w:p>
            <w:pPr>
              <w:ind w:firstLine="0"/>
            </w:pPr>
            <w:r/>
            <w:r>
              <w:rPr>
                <w:rFonts w:ascii="宋体" w:hAnsi="宋体" w:eastAsia="宋体"/>
                <w:b w:val="0"/>
                <w:sz w:val="18"/>
              </w:rPr>
              <w:t>成立</w:t>
            </w:r>
          </w:p>
        </w:tc>
        <w:tc>
          <w:tcPr>
            <w:tcW w:type="dxa" w:w="3969"/>
          </w:tcPr>
          <w:p>
            <w:pPr>
              <w:ind w:firstLine="0"/>
            </w:pPr>
            <w:r/>
            <w:r>
              <w:rPr>
                <w:rFonts w:ascii="宋体" w:hAnsi="宋体" w:eastAsia="宋体"/>
                <w:b w:val="0"/>
                <w:sz w:val="18"/>
              </w:rPr>
              <w:t>可按超说明书用药如实申诉；申诉书不得把原发性FSGS、激素抵抗写成已确立，B08补齐前不写“安全可控”</w:t>
            </w:r>
          </w:p>
        </w:tc>
        <w:tc>
          <w:tcPr>
            <w:tcW w:type="dxa" w:w="1474"/>
          </w:tcPr>
          <w:p>
            <w:pPr>
              <w:ind w:firstLine="0"/>
            </w:pPr>
            <w:r/>
            <w:r>
              <w:rPr>
                <w:rFonts w:ascii="宋体" w:hAnsi="宋体" w:eastAsia="宋体"/>
                <w:b w:val="0"/>
                <w:sz w:val="18"/>
              </w:rPr>
              <w:t>B07、B08、B14</w:t>
            </w:r>
          </w:p>
        </w:tc>
      </w:tr>
      <w:tr>
        <w:tc>
          <w:tcPr>
            <w:tcW w:type="dxa" w:w="1587"/>
          </w:tcPr>
          <w:p>
            <w:pPr>
              <w:ind w:firstLine="0"/>
            </w:pPr>
            <w:r/>
            <w:r>
              <w:rPr>
                <w:rFonts w:ascii="宋体" w:hAnsi="宋体" w:eastAsia="宋体"/>
                <w:b w:val="0"/>
                <w:sz w:val="18"/>
              </w:rPr>
              <w:t>自查不符合项</w:t>
            </w:r>
          </w:p>
        </w:tc>
        <w:tc>
          <w:tcPr>
            <w:tcW w:type="dxa" w:w="1134"/>
          </w:tcPr>
          <w:p>
            <w:pPr>
              <w:ind w:firstLine="0"/>
            </w:pPr>
            <w:r/>
            <w:r>
              <w:rPr>
                <w:rFonts w:ascii="宋体" w:hAnsi="宋体" w:eastAsia="宋体"/>
                <w:b w:val="0"/>
                <w:sz w:val="18"/>
              </w:rPr>
              <w:t>支付范围</w:t>
            </w:r>
          </w:p>
        </w:tc>
        <w:tc>
          <w:tcPr>
            <w:tcW w:type="dxa" w:w="1247"/>
          </w:tcPr>
          <w:p>
            <w:pPr>
              <w:ind w:firstLine="0"/>
            </w:pPr>
            <w:r/>
            <w:r>
              <w:rPr>
                <w:rFonts w:ascii="宋体" w:hAnsi="宋体" w:eastAsia="宋体"/>
                <w:b w:val="0"/>
                <w:sz w:val="18"/>
              </w:rPr>
              <w:t>见自查表</w:t>
            </w:r>
          </w:p>
        </w:tc>
        <w:tc>
          <w:tcPr>
            <w:tcW w:type="dxa" w:w="3969"/>
          </w:tcPr>
          <w:p>
            <w:pPr>
              <w:ind w:firstLine="0"/>
            </w:pPr>
            <w:r/>
            <w:r>
              <w:rPr>
                <w:rFonts w:ascii="宋体" w:hAnsi="宋体" w:eastAsia="宋体"/>
                <w:b w:val="0"/>
                <w:sz w:val="18"/>
              </w:rPr>
              <w:t>静注人免疫球蛋白、胸腺法新建议主动认扣；莫西沙星核清结算品规后定</w:t>
            </w:r>
          </w:p>
        </w:tc>
        <w:tc>
          <w:tcPr>
            <w:tcW w:type="dxa" w:w="1474"/>
          </w:tcPr>
          <w:p>
            <w:pPr>
              <w:ind w:firstLine="0"/>
            </w:pPr>
            <w:r/>
            <w:r>
              <w:rPr>
                <w:rFonts w:ascii="宋体" w:hAnsi="宋体" w:eastAsia="宋体"/>
                <w:b w:val="0"/>
                <w:sz w:val="18"/>
              </w:rPr>
              <w:t>B16、B17</w:t>
            </w:r>
          </w:p>
        </w:tc>
      </w:tr>
    </w:tbl>
    <w:p/>
    <w:p>
      <w:pPr>
        <w:spacing w:before="160"/>
      </w:pPr>
      <w:r>
        <w:rPr>
          <w:rFonts w:ascii="黑体" w:hAnsi="黑体" w:eastAsia="黑体"/>
          <w:b/>
          <w:sz w:val="24"/>
        </w:rPr>
        <w:t>五、复核调整记录</w:t>
      </w:r>
    </w:p>
    <w:tbl>
      <w:tblPr>
        <w:tblStyle w:val="TableGrid"/>
        <w:tblW w:type="auto" w:w="0"/>
        <w:tblLayout w:type="fixed"/>
        <w:tblLook w:firstColumn="1" w:firstRow="1" w:lastColumn="0" w:lastRow="0" w:noHBand="0" w:noVBand="1" w:val="04A0"/>
      </w:tblPr>
      <w:tblGrid>
        <w:gridCol w:w="453"/>
        <w:gridCol w:w="1701"/>
        <w:gridCol w:w="2381"/>
        <w:gridCol w:w="2494"/>
        <w:gridCol w:w="2381"/>
      </w:tblGrid>
      <w:tr>
        <w:tc>
          <w:tcPr>
            <w:tcW w:type="dxa" w:w="454"/>
          </w:tcPr>
          <w:p>
            <w:r/>
            <w:r>
              <w:rPr>
                <w:rFonts w:ascii="宋体" w:hAnsi="宋体" w:eastAsia="宋体"/>
                <w:b/>
                <w:sz w:val="18"/>
              </w:rPr>
              <w:t>序</w:t>
            </w:r>
          </w:p>
        </w:tc>
        <w:tc>
          <w:tcPr>
            <w:tcW w:type="dxa" w:w="1701"/>
          </w:tcPr>
          <w:p>
            <w:r/>
            <w:r>
              <w:rPr>
                <w:rFonts w:ascii="宋体" w:hAnsi="宋体" w:eastAsia="宋体"/>
                <w:b/>
                <w:sz w:val="18"/>
              </w:rPr>
              <w:t>调整位置</w:t>
            </w:r>
          </w:p>
        </w:tc>
        <w:tc>
          <w:tcPr>
            <w:tcW w:type="dxa" w:w="2381"/>
          </w:tcPr>
          <w:p>
            <w:r/>
            <w:r>
              <w:rPr>
                <w:rFonts w:ascii="宋体" w:hAnsi="宋体" w:eastAsia="宋体"/>
                <w:b/>
                <w:sz w:val="18"/>
              </w:rPr>
              <w:t>调整前</w:t>
            </w:r>
          </w:p>
        </w:tc>
        <w:tc>
          <w:tcPr>
            <w:tcW w:type="dxa" w:w="2494"/>
          </w:tcPr>
          <w:p>
            <w:r/>
            <w:r>
              <w:rPr>
                <w:rFonts w:ascii="宋体" w:hAnsi="宋体" w:eastAsia="宋体"/>
                <w:b/>
                <w:sz w:val="18"/>
              </w:rPr>
              <w:t>调整后</w:t>
            </w:r>
          </w:p>
        </w:tc>
        <w:tc>
          <w:tcPr>
            <w:tcW w:type="dxa" w:w="2381"/>
          </w:tcPr>
          <w:p>
            <w:r/>
            <w:r>
              <w:rPr>
                <w:rFonts w:ascii="宋体" w:hAnsi="宋体" w:eastAsia="宋体"/>
                <w:b/>
                <w:sz w:val="18"/>
              </w:rPr>
              <w:t>原因</w:t>
            </w:r>
          </w:p>
        </w:tc>
      </w:tr>
      <w:tr>
        <w:tc>
          <w:tcPr>
            <w:tcW w:type="dxa" w:w="454"/>
          </w:tcPr>
          <w:p>
            <w:pPr>
              <w:ind w:firstLine="0"/>
            </w:pPr>
            <w:r/>
            <w:r>
              <w:rPr>
                <w:rFonts w:ascii="宋体" w:hAnsi="宋体" w:eastAsia="宋体"/>
                <w:b w:val="0"/>
                <w:sz w:val="18"/>
              </w:rPr>
              <w:t>1</w:t>
            </w:r>
          </w:p>
        </w:tc>
        <w:tc>
          <w:tcPr>
            <w:tcW w:type="dxa" w:w="1701"/>
          </w:tcPr>
          <w:p>
            <w:pPr>
              <w:ind w:firstLine="0"/>
            </w:pPr>
            <w:r/>
            <w:r>
              <w:rPr>
                <w:rFonts w:ascii="宋体" w:hAnsi="宋体" w:eastAsia="宋体"/>
                <w:b w:val="0"/>
                <w:sz w:val="18"/>
              </w:rPr>
              <w:t>Y2临床依据栏；第三节（5）</w:t>
            </w:r>
          </w:p>
        </w:tc>
        <w:tc>
          <w:tcPr>
            <w:tcW w:type="dxa" w:w="2381"/>
          </w:tcPr>
          <w:p>
            <w:pPr>
              <w:ind w:firstLine="0"/>
            </w:pPr>
            <w:r/>
            <w:r>
              <w:rPr>
                <w:rFonts w:ascii="宋体" w:hAnsi="宋体" w:eastAsia="宋体"/>
                <w:b w:val="0"/>
                <w:sz w:val="18"/>
              </w:rPr>
              <w:t>初稿据情况说明二、“联合用药（美罗培南、利奈唑胺）”与“……利奈唑胺＋美罗培南”，把“利奈唑胺＋美罗培南联合方案”写作已执行的事实，作为利奈唑胺的临床依据</w:t>
            </w:r>
          </w:p>
        </w:tc>
        <w:tc>
          <w:tcPr>
            <w:tcW w:type="dxa" w:w="2494"/>
          </w:tcPr>
          <w:p>
            <w:pPr>
              <w:ind w:firstLine="0"/>
            </w:pPr>
            <w:r/>
            <w:r>
              <w:rPr>
                <w:rFonts w:ascii="宋体" w:hAnsi="宋体" w:eastAsia="宋体"/>
                <w:b w:val="0"/>
                <w:sz w:val="18"/>
              </w:rPr>
              <w:t>改为：美罗培南只见于事后总结句，逐日病程无医嘱，日期剂量途径未载，不作申诉依据；新增第三节（5）</w:t>
            </w:r>
          </w:p>
        </w:tc>
        <w:tc>
          <w:tcPr>
            <w:tcW w:type="dxa" w:w="2381"/>
          </w:tcPr>
          <w:p>
            <w:pPr>
              <w:ind w:firstLine="0"/>
            </w:pPr>
            <w:r/>
            <w:r>
              <w:rPr>
                <w:rFonts w:ascii="宋体" w:hAnsi="宋体" w:eastAsia="宋体"/>
                <w:b w:val="0"/>
                <w:sz w:val="18"/>
              </w:rPr>
              <w:t>编补充清单B05（美罗培南医嘱与计费）时回查病程扫描件07-23至08-02五条，未见该药；情况说明前一句是通用方案写法</w:t>
            </w:r>
          </w:p>
        </w:tc>
      </w:tr>
      <w:tr>
        <w:tc>
          <w:tcPr>
            <w:tcW w:type="dxa" w:w="454"/>
          </w:tcPr>
          <w:p>
            <w:pPr>
              <w:ind w:firstLine="0"/>
            </w:pPr>
            <w:r/>
            <w:r>
              <w:rPr>
                <w:rFonts w:ascii="宋体" w:hAnsi="宋体" w:eastAsia="宋体"/>
                <w:b w:val="0"/>
                <w:sz w:val="18"/>
              </w:rPr>
              <w:t>2</w:t>
            </w:r>
          </w:p>
        </w:tc>
        <w:tc>
          <w:tcPr>
            <w:tcW w:type="dxa" w:w="1701"/>
          </w:tcPr>
          <w:p>
            <w:pPr>
              <w:ind w:firstLine="0"/>
            </w:pPr>
            <w:r/>
            <w:r>
              <w:rPr>
                <w:rFonts w:ascii="宋体" w:hAnsi="宋体" w:eastAsia="宋体"/>
                <w:b w:val="0"/>
                <w:sz w:val="18"/>
              </w:rPr>
              <w:t>Y3说明书核对栏；第三节（1）；第四节他克莫司行</w:t>
            </w:r>
          </w:p>
        </w:tc>
        <w:tc>
          <w:tcPr>
            <w:tcW w:type="dxa" w:w="2381"/>
          </w:tcPr>
          <w:p>
            <w:pPr>
              <w:ind w:firstLine="0"/>
            </w:pPr>
            <w:r/>
            <w:r>
              <w:rPr>
                <w:rFonts w:ascii="宋体" w:hAnsi="宋体" w:eastAsia="宋体"/>
                <w:b w:val="0"/>
                <w:sz w:val="18"/>
              </w:rPr>
              <w:t>初稿Y3只核适应证与临床依据，未涉及与复方磺胺甲噁唑同期使用</w:t>
            </w:r>
          </w:p>
        </w:tc>
        <w:tc>
          <w:tcPr>
            <w:tcW w:type="dxa" w:w="2494"/>
          </w:tcPr>
          <w:p>
            <w:pPr>
              <w:ind w:firstLine="0"/>
            </w:pPr>
            <w:r/>
            <w:r>
              <w:rPr>
                <w:rFonts w:ascii="宋体" w:hAnsi="宋体" w:eastAsia="宋体"/>
                <w:b w:val="0"/>
                <w:sz w:val="18"/>
              </w:rPr>
              <w:t>补入他克莫司说明书高钾与肾毒性两处要求、复方磺胺甲噁唑说明书无对应表述、随访期无血钾与肾功能记录；第四节加“B08补齐前不写安全可控”</w:t>
            </w:r>
          </w:p>
        </w:tc>
        <w:tc>
          <w:tcPr>
            <w:tcW w:type="dxa" w:w="2381"/>
          </w:tcPr>
          <w:p>
            <w:pPr>
              <w:ind w:firstLine="0"/>
            </w:pPr>
            <w:r/>
            <w:r>
              <w:rPr>
                <w:rFonts w:ascii="宋体" w:hAnsi="宋体" w:eastAsia="宋体"/>
                <w:b w:val="0"/>
                <w:sz w:val="18"/>
              </w:rPr>
              <w:t>编补充清单B08（随访期血钾、肾功能）时回查他克莫司说明书第15、18、21页</w:t>
            </w:r>
          </w:p>
        </w:tc>
      </w:tr>
      <w:tr>
        <w:tc>
          <w:tcPr>
            <w:tcW w:type="dxa" w:w="454"/>
          </w:tcPr>
          <w:p>
            <w:pPr>
              <w:ind w:firstLine="0"/>
            </w:pPr>
            <w:r/>
            <w:r>
              <w:rPr>
                <w:rFonts w:ascii="宋体" w:hAnsi="宋体" w:eastAsia="宋体"/>
                <w:b w:val="0"/>
                <w:sz w:val="18"/>
              </w:rPr>
              <w:t>3</w:t>
            </w:r>
          </w:p>
        </w:tc>
        <w:tc>
          <w:tcPr>
            <w:tcW w:type="dxa" w:w="1701"/>
          </w:tcPr>
          <w:p>
            <w:pPr>
              <w:ind w:firstLine="0"/>
            </w:pPr>
            <w:r/>
            <w:r>
              <w:rPr>
                <w:rFonts w:ascii="宋体" w:hAnsi="宋体" w:eastAsia="宋体"/>
                <w:b w:val="0"/>
                <w:sz w:val="18"/>
              </w:rPr>
              <w:t>自查表Z06；补充清单B16</w:t>
            </w:r>
          </w:p>
        </w:tc>
        <w:tc>
          <w:tcPr>
            <w:tcW w:type="dxa" w:w="2381"/>
          </w:tcPr>
          <w:p>
            <w:pPr>
              <w:ind w:firstLine="0"/>
            </w:pPr>
            <w:r/>
            <w:r>
              <w:rPr>
                <w:rFonts w:ascii="宋体" w:hAnsi="宋体" w:eastAsia="宋体"/>
                <w:b w:val="0"/>
                <w:sz w:val="18"/>
              </w:rPr>
              <w:t>初稿自查表Z06按“莫西沙星 注射剂”一行直接判“不符合”</w:t>
            </w:r>
          </w:p>
        </w:tc>
        <w:tc>
          <w:tcPr>
            <w:tcW w:type="dxa" w:w="2494"/>
          </w:tcPr>
          <w:p>
            <w:pPr>
              <w:ind w:firstLine="0"/>
            </w:pPr>
            <w:r/>
            <w:r>
              <w:rPr>
                <w:rFonts w:ascii="宋体" w:hAnsi="宋体" w:eastAsia="宋体"/>
                <w:b w:val="0"/>
                <w:sz w:val="18"/>
              </w:rPr>
              <w:t>改为：按病历品名对应限定行不符合；同页下一行莫西沙星氯化钠注射剂无备注，实际结算品规待核；新增B16</w:t>
            </w:r>
          </w:p>
        </w:tc>
        <w:tc>
          <w:tcPr>
            <w:tcW w:type="dxa" w:w="2381"/>
          </w:tcPr>
          <w:p>
            <w:pPr>
              <w:ind w:firstLine="0"/>
            </w:pPr>
            <w:r/>
            <w:r>
              <w:rPr>
                <w:rFonts w:ascii="宋体" w:hAnsi="宋体" w:eastAsia="宋体"/>
                <w:b w:val="0"/>
                <w:sz w:val="18"/>
              </w:rPr>
              <w:t>核目录PDF第41页时发现相邻两行，凡例（七）名称不含盐基，病历品名与结算品规可能不一致</w:t>
            </w:r>
          </w:p>
        </w:tc>
      </w:tr>
    </w:tbl>
    <w:p/>
    <w:p>
      <w:pPr>
        <w:jc w:val="right"/>
      </w:pPr>
      <w:r>
        <w:rPr>
          <w:rFonts w:ascii="宋体" w:hAnsi="宋体" w:eastAsia="宋体"/>
          <w:b w:val="0"/>
        </w:rPr>
        <w:t>渠宁市第一人民医院药学部</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9006</Words>
  <Characters>11611</Characters>
  <Application>Microsoft Office Word</Application>
  <DocSecurity>0</DocSecurity>
  <Lines>308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11702</CharactersWithSpaces>
  <SharedDoc>false</SharedDoc>
  <HyperlinkBase/>
  <HyperlinksChanged>false</HyperlinksChanged>
  <AppVersion>16.0300</AppVersion>
</Properties>
</file>

<file path=docProps/core.xml><?xml version="1.0" encoding="utf-8"?>
<cp:coreProperties xmlns:cp="http://schemas.openxmlformats.org/package/2006/metadata/core-properties"/>
</file>