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混合基金业绩基准与相对财富审查</w:t>
      </w:r>
    </w:p>
    <w:p>
      <w:r>
        <w:t>供产品治理、基金研究及风险岗位核阅</w:t>
      </w:r>
    </w:p>
    <w:p>
      <w:r>
        <w:t>信息截止2025年8月31日；完整历史图止于2024年12月31日。</w:t>
      </w:r>
    </w:p>
    <w:p>
      <w:pPr>
        <w:pStyle w:val="Heading1"/>
        <w:pageBreakBefore w:val="0"/>
      </w:pPr>
      <w:r>
        <w:t>一 审议意见</w:t>
      </w:r>
    </w:p>
    <w:p>
      <w:r>
        <w:t>建议保留各报告正式基准，按产品目标和投资执行资料继续完善观察规则。四项报告基准不是相同风险预算，三项股债复合基准与一项存款利率标准分别解释；相对财富回落能支持历史偏离观察，尚不足以证明基准失当或下达变更指令。</w:t>
      </w:r>
    </w:p>
    <w:p>
      <w:r>
        <w:t>大盘精选需补日度复权及基准历史定义后确认接近相对区间的排序；回报应区分绝对回报目标、存款比较标准与产品市场风险；策略精选观察近期相对落后及灵活配置执行；红利重点解释长期相对落后与红利策略的实际落实。四产品均保留有条件的研究观察，会议意见不代表机构已持有或已授权交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产品</w:t>
            </w:r>
          </w:p>
        </w:tc>
        <w:tc>
          <w:tcPr>
            <w:tcW w:type="dxa" w:w="237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基准自身最深回撤约数</w:t>
            </w:r>
          </w:p>
        </w:tc>
        <w:tc>
          <w:tcPr>
            <w:tcW w:type="dxa" w:w="237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最深相对财富回落约数</w:t>
            </w:r>
          </w:p>
        </w:tc>
        <w:tc>
          <w:tcPr>
            <w:tcW w:type="dxa" w:w="34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所选相对峰的期末状态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大盘精选</w:t>
            </w:r>
          </w:p>
        </w:tc>
        <w:tc>
          <w:tcPr>
            <w:tcW w:type="dxa" w:w="237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63.00%</w:t>
            </w:r>
          </w:p>
        </w:tc>
        <w:tc>
          <w:tcPr>
            <w:tcW w:type="dxa" w:w="237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26.90%</w:t>
            </w:r>
          </w:p>
        </w:tc>
        <w:tc>
          <w:tcPr>
            <w:tcW w:type="dxa" w:w="34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已恢复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回报</w:t>
            </w:r>
          </w:p>
        </w:tc>
        <w:tc>
          <w:tcPr>
            <w:tcW w:type="dxa" w:w="237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0.00%</w:t>
            </w:r>
          </w:p>
        </w:tc>
        <w:tc>
          <w:tcPr>
            <w:tcW w:type="dxa" w:w="237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43.94%</w:t>
            </w:r>
          </w:p>
        </w:tc>
        <w:tc>
          <w:tcPr>
            <w:tcW w:type="dxa" w:w="34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未恢复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策略精选</w:t>
            </w:r>
          </w:p>
        </w:tc>
        <w:tc>
          <w:tcPr>
            <w:tcW w:type="dxa" w:w="237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25.07%</w:t>
            </w:r>
          </w:p>
        </w:tc>
        <w:tc>
          <w:tcPr>
            <w:tcW w:type="dxa" w:w="237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32.26%</w:t>
            </w:r>
          </w:p>
        </w:tc>
        <w:tc>
          <w:tcPr>
            <w:tcW w:type="dxa" w:w="34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未恢复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红利</w:t>
            </w:r>
          </w:p>
        </w:tc>
        <w:tc>
          <w:tcPr>
            <w:tcW w:type="dxa" w:w="237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47.97%</w:t>
            </w:r>
          </w:p>
        </w:tc>
        <w:tc>
          <w:tcPr>
            <w:tcW w:type="dxa" w:w="237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53.44%</w:t>
            </w:r>
          </w:p>
        </w:tc>
        <w:tc>
          <w:tcPr>
            <w:tcW w:type="dxa" w:w="34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未恢复</w:t>
            </w:r>
          </w:p>
        </w:tc>
      </w:tr>
    </w:tbl>
    <w:p/>
    <w:p>
      <w:r>
        <w:t>上述为完整年报图读估计。大盘精选的基准线在纵轴上较压缩，较早与较晚相对区间接近，不宜把显示差异当作精确排序。回报的存款基准没有实质峰后下跌，约零回撤记录不等于基金本金安全。</w:t>
      </w:r>
    </w:p>
    <w:p>
      <w:r>
        <w:t>依据：四2024年报PDF第4页2.2；大盘第7页、其余第6页3.2.2；委托研究名单与观察场景。</w:t>
      </w:r>
    </w:p>
    <w:p>
      <w:pPr>
        <w:pStyle w:val="Heading1"/>
        <w:pageBreakBefore/>
      </w:pPr>
      <w:r>
        <w:t>二 正式比较对象与适用范围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对象与类别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代码及图期起点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正式基准</w:t>
            </w:r>
          </w:p>
        </w:tc>
        <w:tc>
          <w:tcPr>
            <w:tcW w:type="dxa" w:w="324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目标与策略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华夏大盘精选证券投资基金（A/B）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000011/000012</w:t>
              <w:br/>
              <w:t>2004-08-11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富时中国A200指数80%＋富时中国国债指数20%</w:t>
            </w:r>
          </w:p>
        </w:tc>
        <w:tc>
          <w:tcPr>
            <w:tcW w:type="dxa" w:w="324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追求长期增值；自下而上精选大型上市公司股票，并配置债券。中等风险；长期平均风险/收益高于债券和混合基金，低于成长型股票基金。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华夏回报证券投资基金（报告基金）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002001/002002</w:t>
              <w:br/>
              <w:t>2003-09-05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同期一年期定期存款利率</w:t>
            </w:r>
          </w:p>
        </w:tc>
        <w:tc>
          <w:tcPr>
            <w:tcW w:type="dxa" w:w="324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尽量避免资产损失、追求每年较高绝对回报；价值型股票及股债配置。中等风险；长期平均风险/收益高于债券基金，低于股票基金。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华夏策略精选灵活配置混合型证券投资基金（报告基金）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002031</w:t>
              <w:br/>
              <w:t>2008-10-23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沪深300指数55%＋上证国债指数45%</w:t>
            </w:r>
          </w:p>
        </w:tc>
        <w:tc>
          <w:tcPr>
            <w:tcW w:type="dxa" w:w="324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灵活运用主题、成长、领先与动量等策略，谋求长期持续增值。风险高于货币与债券基金、低于股票基金；在混合基金中属于较高风险/收益。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华夏红利混合型证券投资基金（报告基金）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002011/002012</w:t>
              <w:br/>
              <w:t>2005-06-30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富时中国A股红利150指数60%＋富时中国国债指数40%</w:t>
            </w:r>
          </w:p>
        </w:tc>
        <w:tc>
          <w:tcPr>
            <w:tcW w:type="dxa" w:w="324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精选现金分红能力良好且财务健康的股票，追求长期增值。主要投资红利股、属中等风险；风险高于货币与债券基金，低于股票基金。</w:t>
            </w:r>
          </w:p>
        </w:tc>
      </w:tr>
    </w:tbl>
    <w:p/>
    <w:p>
      <w:r>
        <w:t>四年报和四中报第4页的基准定义对应一致。股债比较权重用于业绩基准构成，不能单独推为当期实有资产配置或合同持仓上下限；公开目标与策略支持定性解释，实际执行和调整依据仍需合同、持仓及决策资料。四报告风险收益特征均属于混合或中等风险描述，不能由存款基准、分红股票策略或历史跑赢推定保本。</w:t>
      </w:r>
    </w:p>
    <w:p>
      <w:r>
        <w:t>大盘精选完整长期图为A/B类别；C类自2021年6月15日新增，另有较短图，不能拼入A/B合同以来序列。回报内地销售A类002001前端、002002后端，香港销售H类960002；报告长期图及3.2.1未独立拆分A/H，统计和长期图按报告基金范围使用，不窄写成A类专属曲线。红利002011/002012分别是前/后端交易代码，不是两只基金。各源图从本产品实际合同起点开始，不能作为共同2003年或同一交易日的联合回测。</w:t>
      </w:r>
    </w:p>
    <w:p>
      <w:r>
        <w:t>年报审计范围为财务报表，托管意见和管理人叙述按报告载明范围使用；均不证明个人经理独立贡献、实际跟踪误差或未来收益。2025报告用于近期观察，完整历史极值仍限制在所用2024年报图期内。</w:t>
      </w:r>
    </w:p>
    <w:p>
      <w:r>
        <w:t>依据：四年报及四中报PDF第4页2.1、2.2；大盘年报第6—7页C类新增注与A/B完整图；报告重要提示、审计报告及托管报告。</w:t>
      </w:r>
    </w:p>
    <w:p>
      <w:pPr>
        <w:pStyle w:val="Heading1"/>
      </w:pPr>
      <w:r>
        <w:t>三 期间统计与使用口径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产品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实际窗口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基金收益 / 标准差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基准收益 / 标准差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收益差 / 标准差差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大盘精选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2024年度</w:t>
              <w:br/>
              <w:t>2024-01-01—2024-12-31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10.79% / 1.57%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13.67% / 1.03%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-2.88pp / 0.54pp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大盘精选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2025上半年</w:t>
              <w:br/>
              <w:t>2025-01-01—2025-06-30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2.59% / 1.09%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0.01% / 0.78%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2.58pp / 0.31pp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大盘精选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中报过去一年</w:t>
              <w:br/>
              <w:t>2024-07-01—2025-06-30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17.58% / 1.49%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10.78% / 1.06%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6.80pp / 0.43pp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大盘精选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中报过去三年</w:t>
              <w:br/>
              <w:t>2022-07-01—2025-06-30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-18.51% / 1.20%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-7.68% / 0.85%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-10.83pp / 0.35pp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回报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2024年度</w:t>
              <w:br/>
              <w:t>2024-01-01—2024-12-31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5.56% / 1.12%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1.50% / 0.00%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4.06pp / 1.12pp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回报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2025上半年</w:t>
              <w:br/>
              <w:t>2025-01-01—2025-06-30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2.06% / 0.69%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0.74% / 0.00%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1.32pp / 0.69pp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回报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中报过去一年</w:t>
              <w:br/>
              <w:t>2024-07-01—2025-06-30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12.12% / 1.06%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1.50% / 0.00%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10.62pp / 1.06pp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回报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中报过去三年</w:t>
              <w:br/>
              <w:t>2022-07-01—2025-06-30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-11.55% / 0.82%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4.50% / 0.00%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-16.05pp / 0.82pp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策略精选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2024年度</w:t>
              <w:br/>
              <w:t>2024-01-01—2024-12-31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9.65% / 1.30%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12.26% / 0.73%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-2.61pp / 0.57pp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策略精选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2025上半年</w:t>
              <w:br/>
              <w:t>2025-01-01—2025-06-30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-6.74% / 1.12%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0.79% / 0.55%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-7.53pp / 0.57pp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策略精选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中报过去一年</w:t>
              <w:br/>
              <w:t>2024-07-01—2025-06-30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2.56% / 1.31%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10.52% / 0.75%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-7.96pp / 0.56pp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策略精选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中报过去三年</w:t>
              <w:br/>
              <w:t>2022-07-01—2025-06-30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-22.53% / 1.05%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0.40% / 0.60%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-22.93pp / 0.45pp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红利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2024年度</w:t>
              <w:br/>
              <w:t>2024-01-01—2024-12-31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3.70% / 1.33%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11.99% / 0.71%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-8.29pp / 0.62pp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红利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2025上半年</w:t>
              <w:br/>
              <w:t>2025-01-01—2025-06-30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1.60% / 0.80%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-0.46% / 0.51%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2.06pp / 0.29pp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红利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中报过去一年</w:t>
              <w:br/>
              <w:t>2024-07-01—2025-06-30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10.96% / 1.24%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4.97% / 0.70%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5.99pp / 0.54pp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红利</w:t>
            </w:r>
          </w:p>
        </w:tc>
        <w:tc>
          <w:tcPr>
            <w:tcW w:type="dxa" w:w="25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中报过去三年</w:t>
              <w:br/>
              <w:t>2022-07-01—2025-06-30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-27.57% / 1.04%</w:t>
            </w:r>
          </w:p>
        </w:tc>
        <w:tc>
          <w:tcPr>
            <w:tcW w:type="dxa" w:w="2160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10.03% / 0.57%</w:t>
            </w:r>
          </w:p>
        </w:tc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-37.60pp / 0.47pp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/>
        </w:trPr>
        <w:tc>
          <w:tcPr>
            <w:tcW w:type="dxa" w:w="28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第一季度窗口</w:t>
            </w:r>
          </w:p>
        </w:tc>
        <w:tc>
          <w:tcPr>
            <w:tcW w:type="dxa" w:w="244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基金收益 / 标准差</w:t>
            </w:r>
          </w:p>
        </w:tc>
        <w:tc>
          <w:tcPr>
            <w:tcW w:type="dxa" w:w="244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基准收益 / 标准差</w:t>
            </w:r>
          </w:p>
        </w:tc>
        <w:tc>
          <w:tcPr>
            <w:tcW w:type="dxa" w:w="230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收益差 / 标准差差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回报 2025-01-01—03-31</w:t>
            </w:r>
          </w:p>
        </w:tc>
        <w:tc>
          <w:tcPr>
            <w:tcW w:type="dxa" w:w="244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0.49% / 0.63%</w:t>
            </w:r>
          </w:p>
        </w:tc>
        <w:tc>
          <w:tcPr>
            <w:tcW w:type="dxa" w:w="244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0.37% / 0.00%</w:t>
            </w:r>
          </w:p>
        </w:tc>
        <w:tc>
          <w:tcPr>
            <w:tcW w:type="dxa" w:w="230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0.12pp / 0.63pp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红利 2025-01-01—03-31</w:t>
            </w:r>
          </w:p>
        </w:tc>
        <w:tc>
          <w:tcPr>
            <w:tcW w:type="dxa" w:w="244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0.76% / 0.71%</w:t>
            </w:r>
          </w:p>
        </w:tc>
        <w:tc>
          <w:tcPr>
            <w:tcW w:type="dxa" w:w="244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−1.99% / 0.42%</w:t>
            </w:r>
          </w:p>
        </w:tc>
        <w:tc>
          <w:tcPr>
            <w:tcW w:type="dxa" w:w="230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2.75pp / 0.29pp</w:t>
            </w:r>
          </w:p>
        </w:tc>
      </w:tr>
    </w:tbl>
    <w:p/>
    <w:p>
      <w:r>
        <w:t>收益差是同窗口累计收益率百分点差，各自标准差反映各自日收益波动，二者标准差之差仅比较两条序列的波动大小。没有协方差及同日主动收益数据，无法得到实测主动波动或跟踪误差。表中回报基准标准差披露为0.00%，不证明基金波动为零。</w:t>
      </w:r>
    </w:p>
    <w:p>
      <w:r>
        <w:t>净值增长率采用报告历史收益分配与基金费用处理口径，不用期末单位净值减1作为总回报，不再次叠加同口径分红或重复扣已计基金费用。年度与滚动一年起止日不同；过去三年是累计窗口，不能把它与相邻半年收益简单相加。</w:t>
      </w:r>
    </w:p>
    <w:p>
      <w:r>
        <w:t>依据：四年报3.2.1：大盘PDF第6页，其余第6页；四中报3.2.1：大盘第6页，其余第5—6页；回报、红利一季报PDF第4页3.2.1；3.1主要指标注。</w:t>
      </w:r>
    </w:p>
    <w:p>
      <w:pPr>
        <w:pStyle w:val="Heading1"/>
        <w:pageBreakBefore/>
      </w:pPr>
      <w:r>
        <w:t>四 华夏大盘精选混合完整历史核查</w:t>
      </w:r>
    </w:p>
    <w:p>
      <w:r>
        <w:t>图期：2004-08-11至2024-12-31；基金与正式基准按同一横坐标取值。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基准路径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季度</w:t>
            </w:r>
          </w:p>
        </w:tc>
        <w:tc>
          <w:tcPr>
            <w:tcW w:type="dxa" w:w="302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累计增长率</w:t>
            </w:r>
          </w:p>
        </w:tc>
        <w:tc>
          <w:tcPr>
            <w:tcW w:type="dxa" w:w="309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复合财富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在先峰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2007Q4</w:t>
            </w:r>
          </w:p>
        </w:tc>
        <w:tc>
          <w:tcPr>
            <w:tcW w:type="dxa" w:w="302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285.01%</w:t>
            </w:r>
          </w:p>
        </w:tc>
        <w:tc>
          <w:tcPr>
            <w:tcW w:type="dxa" w:w="309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3.8501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随后谷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2008Q4</w:t>
            </w:r>
          </w:p>
        </w:tc>
        <w:tc>
          <w:tcPr>
            <w:tcW w:type="dxa" w:w="302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42.45%</w:t>
            </w:r>
          </w:p>
        </w:tc>
        <w:tc>
          <w:tcPr>
            <w:tcW w:type="dxa" w:w="309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1.4245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回撤及期末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63.00%</w:t>
            </w:r>
          </w:p>
        </w:tc>
        <w:tc>
          <w:tcPr>
            <w:tcW w:type="dxa" w:w="302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曾恢复，图期末再次低于所选峰</w:t>
            </w:r>
          </w:p>
        </w:tc>
        <w:tc>
          <w:tcPr>
            <w:tcW w:type="dxa" w:w="309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期末财富 3.3043</w:t>
            </w:r>
          </w:p>
        </w:tc>
      </w:tr>
    </w:tbl>
    <w:p/>
    <w:p>
      <w:r>
        <w:t>基准财富回撤＝1－(1＋谷累计增长率)/(1＋峰累计增长率)＝1－1.424483/3.850103＝63.00%。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相对路径</w:t>
            </w:r>
          </w:p>
        </w:tc>
        <w:tc>
          <w:tcPr>
            <w:tcW w:type="dxa" w:w="16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季度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基金累计增长率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基准累计增长率</w:t>
            </w:r>
          </w:p>
        </w:tc>
        <w:tc>
          <w:tcPr>
            <w:tcW w:type="dxa" w:w="201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相对财富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在先相对峰</w:t>
            </w:r>
          </w:p>
        </w:tc>
        <w:tc>
          <w:tcPr>
            <w:tcW w:type="dxa" w:w="16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2013Q3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1449.31%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97.02%</w:t>
            </w:r>
          </w:p>
        </w:tc>
        <w:tc>
          <w:tcPr>
            <w:tcW w:type="dxa" w:w="201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7.8635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随后相对谷</w:t>
            </w:r>
          </w:p>
        </w:tc>
        <w:tc>
          <w:tcPr>
            <w:tcW w:type="dxa" w:w="16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2015Q1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1485.69%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175.86%</w:t>
            </w:r>
          </w:p>
        </w:tc>
        <w:tc>
          <w:tcPr>
            <w:tcW w:type="dxa" w:w="201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5.7482</w:t>
            </w:r>
          </w:p>
        </w:tc>
      </w:tr>
    </w:tbl>
    <w:p/>
    <w:p>
      <w:r>
        <w:t>相对峰＝(1＋14.493079)/(1＋0.970248)＝7.863517；相对谷＝(1＋14.856921)/(1＋1.758574)＝5.748231。相对财富回落＝1－5.748231/7.863517＝26.90%。</w:t>
      </w:r>
    </w:p>
    <w:p>
      <w:r>
        <w:t>截至图期末，相对财富约9.4785，曾恢复，图期末高于所选峰。该状态只针对本项所选峰，不替代后来更高峰的恢复判断。</w:t>
      </w:r>
    </w:p>
    <w:p>
      <w:r>
        <w:t>原图基准变化较压缩，2013Q3—2014Q1附近相对峰至2014Q4—2015Q1谷的估计回落约25%—29%；2021Q3附近至2024Q1—Q3附近约23%—25%，属于接近竞争区间。当前采用前一区间展示完整相对回落，后一区间用于后续日度核验；图示差异不足以支持逐日唯一排名。</w:t>
      </w:r>
    </w:p>
    <w:p>
      <w:r>
        <w:t>依据：华夏大盘精选混合_2024年报_20250331.pdf，PDF第7页3.2.2完整历史图；基金蓝线与业绩基准紫线；对应年/中报2.2和3.2.1。</w:t>
      </w:r>
    </w:p>
    <w:p>
      <w:pPr>
        <w:pStyle w:val="Heading1"/>
        <w:pageBreakBefore/>
      </w:pPr>
      <w:r>
        <w:t>四 华夏回报混合完整历史核查</w:t>
      </w:r>
    </w:p>
    <w:p>
      <w:r>
        <w:t>图期：2003-09-05至2024-12-31；基金与正式基准按同一横坐标取值。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基准记录</w:t>
            </w:r>
          </w:p>
        </w:tc>
        <w:tc>
          <w:tcPr>
            <w:tcW w:type="dxa" w:w="64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结果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曲线</w:t>
            </w:r>
          </w:p>
        </w:tc>
        <w:tc>
          <w:tcPr>
            <w:tcW w:type="dxa" w:w="64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报告业绩基准紫线；同期一年期定期存款利率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最深回撤</w:t>
            </w:r>
          </w:p>
        </w:tc>
        <w:tc>
          <w:tcPr>
            <w:tcW w:type="dxa" w:w="64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约0%；完整图内无实质峰后跌落事件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峰谷及恢复</w:t>
            </w:r>
          </w:p>
        </w:tc>
        <w:tc>
          <w:tcPr>
            <w:tcW w:type="dxa" w:w="64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不指定不存在的跌落峰谷和恢复日；事件字段不适用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相对路径</w:t>
            </w:r>
          </w:p>
        </w:tc>
        <w:tc>
          <w:tcPr>
            <w:tcW w:type="dxa" w:w="16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季度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基金累计增长率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基准累计增长率</w:t>
            </w:r>
          </w:p>
        </w:tc>
        <w:tc>
          <w:tcPr>
            <w:tcW w:type="dxa" w:w="201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相对财富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在先相对峰</w:t>
            </w:r>
          </w:p>
        </w:tc>
        <w:tc>
          <w:tcPr>
            <w:tcW w:type="dxa" w:w="16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2021Q1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2023.45%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40.07%</w:t>
            </w:r>
          </w:p>
        </w:tc>
        <w:tc>
          <w:tcPr>
            <w:tcW w:type="dxa" w:w="201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15.1601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随后相对谷</w:t>
            </w:r>
          </w:p>
        </w:tc>
        <w:tc>
          <w:tcPr>
            <w:tcW w:type="dxa" w:w="16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2024Q3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1139.08%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45.79%</w:t>
            </w:r>
          </w:p>
        </w:tc>
        <w:tc>
          <w:tcPr>
            <w:tcW w:type="dxa" w:w="201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8.4990</w:t>
            </w:r>
          </w:p>
        </w:tc>
      </w:tr>
    </w:tbl>
    <w:p/>
    <w:p>
      <w:r>
        <w:t>相对峰＝(1＋20.234457)/(1＋0.400682)＝15.160081；相对谷＝(1＋11.390826)/(1＋0.457923)＝8.498960。相对财富回落＝1－8.498960/15.160081＝43.94%。</w:t>
      </w:r>
    </w:p>
    <w:p>
      <w:r>
        <w:t>截至图期末，相对财富约9.8339，图期内尚未恢复，期末低于所选峰。该状态只针对本项所选峰，不替代后来更高峰的恢复判断。</w:t>
      </w:r>
    </w:p>
    <w:p>
      <w:r>
        <w:t>相对路径仍受基金自身股票和债券市场风险影响。存款标准只提供绝对回报比较尺度，没有基准跌落事件不消除基金相对峰后的损失。2025H1相对差为1.32个百分点，过去三年差为−16.05个百分点，近期改善不代表长期相对落后已结束。</w:t>
      </w:r>
    </w:p>
    <w:p>
      <w:r>
        <w:t>依据：华夏回报混合_2024年报_20250331.pdf，PDF第6页3.2.2完整历史图；基金蓝线与业绩基准紫线；对应年/中报2.2和3.2.1。</w:t>
      </w:r>
    </w:p>
    <w:p>
      <w:pPr>
        <w:pStyle w:val="Heading1"/>
        <w:pageBreakBefore/>
      </w:pPr>
      <w:r>
        <w:t>四 华夏策略精选混合完整历史核查</w:t>
      </w:r>
    </w:p>
    <w:p>
      <w:r>
        <w:t>图期：2008-10-23至2024-12-31；基金与正式基准按同一横坐标取值。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基准路径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季度</w:t>
            </w:r>
          </w:p>
        </w:tc>
        <w:tc>
          <w:tcPr>
            <w:tcW w:type="dxa" w:w="302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累计增长率</w:t>
            </w:r>
          </w:p>
        </w:tc>
        <w:tc>
          <w:tcPr>
            <w:tcW w:type="dxa" w:w="309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复合财富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在先峰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2015Q2</w:t>
            </w:r>
          </w:p>
        </w:tc>
        <w:tc>
          <w:tcPr>
            <w:tcW w:type="dxa" w:w="302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112.14%</w:t>
            </w:r>
          </w:p>
        </w:tc>
        <w:tc>
          <w:tcPr>
            <w:tcW w:type="dxa" w:w="309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2.1214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随后谷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2016Q1</w:t>
            </w:r>
          </w:p>
        </w:tc>
        <w:tc>
          <w:tcPr>
            <w:tcW w:type="dxa" w:w="302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58.96%</w:t>
            </w:r>
          </w:p>
        </w:tc>
        <w:tc>
          <w:tcPr>
            <w:tcW w:type="dxa" w:w="309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1.5896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回撤及期末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25.07%</w:t>
            </w:r>
          </w:p>
        </w:tc>
        <w:tc>
          <w:tcPr>
            <w:tcW w:type="dxa" w:w="302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曾恢复，图期末高于所选峰</w:t>
            </w:r>
          </w:p>
        </w:tc>
        <w:tc>
          <w:tcPr>
            <w:tcW w:type="dxa" w:w="309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期末财富 2.2832</w:t>
            </w:r>
          </w:p>
        </w:tc>
      </w:tr>
    </w:tbl>
    <w:p/>
    <w:p>
      <w:r>
        <w:t>基准财富回撤＝1－(1＋谷累计增长率)/(1＋峰累计增长率)＝1－1.589591/2.121379＝25.07%。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相对路径</w:t>
            </w:r>
          </w:p>
        </w:tc>
        <w:tc>
          <w:tcPr>
            <w:tcW w:type="dxa" w:w="16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季度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基金累计增长率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基准累计增长率</w:t>
            </w:r>
          </w:p>
        </w:tc>
        <w:tc>
          <w:tcPr>
            <w:tcW w:type="dxa" w:w="201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相对财富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在先相对峰</w:t>
            </w:r>
          </w:p>
        </w:tc>
        <w:tc>
          <w:tcPr>
            <w:tcW w:type="dxa" w:w="16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2021Q3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823.12%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136.42%</w:t>
            </w:r>
          </w:p>
        </w:tc>
        <w:tc>
          <w:tcPr>
            <w:tcW w:type="dxa" w:w="201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3.9046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随后相对谷</w:t>
            </w:r>
          </w:p>
        </w:tc>
        <w:tc>
          <w:tcPr>
            <w:tcW w:type="dxa" w:w="16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2024Q3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442.77%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105.20%</w:t>
            </w:r>
          </w:p>
        </w:tc>
        <w:tc>
          <w:tcPr>
            <w:tcW w:type="dxa" w:w="201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2.6451</w:t>
            </w:r>
          </w:p>
        </w:tc>
      </w:tr>
    </w:tbl>
    <w:p/>
    <w:p>
      <w:r>
        <w:t>相对峰＝(1＋8.231152)/(1＋1.364152)＝3.904636；相对谷＝(1＋4.427712)/(1＋1.052015)＝2.645064。相对财富回落＝1－2.645064/3.904636＝32.26%。</w:t>
      </w:r>
    </w:p>
    <w:p>
      <w:r>
        <w:t>截至图期末，相对财富约2.8734，图期内尚未恢复，期末低于所选峰。该状态只针对本项所选峰，不替代后来更高峰的恢复判断。</w:t>
      </w:r>
    </w:p>
    <w:p>
      <w:r>
        <w:t>基准2015年较深路径与2021年较晚高点的回落相近，较早路径的谷约在2016Q1，年报期末已经高于所选2015峰；后来更高峰另行判断。基金最深相对回落在2021—2024，不能将基准绝对谷直接用作相对谷。2025H1与中报过去三年相对差均为负，应补灵活配置实际执行证据。</w:t>
      </w:r>
    </w:p>
    <w:p>
      <w:r>
        <w:t>依据：华夏策略精选混合_2024年报_20250331.pdf，PDF第6页3.2.2完整历史图；基金蓝线与业绩基准紫线；对应年/中报2.2和3.2.1。</w:t>
      </w:r>
    </w:p>
    <w:p>
      <w:pPr>
        <w:pStyle w:val="Heading1"/>
        <w:pageBreakBefore/>
      </w:pPr>
      <w:r>
        <w:t>四 华夏红利混合完整历史核查</w:t>
      </w:r>
    </w:p>
    <w:p>
      <w:r>
        <w:t>图期：2005-06-30至2024-12-31；基金与正式基准按同一横坐标取值。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基准路径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季度</w:t>
            </w:r>
          </w:p>
        </w:tc>
        <w:tc>
          <w:tcPr>
            <w:tcW w:type="dxa" w:w="302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累计增长率</w:t>
            </w:r>
          </w:p>
        </w:tc>
        <w:tc>
          <w:tcPr>
            <w:tcW w:type="dxa" w:w="309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复合财富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在先峰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2008Q1</w:t>
            </w:r>
          </w:p>
        </w:tc>
        <w:tc>
          <w:tcPr>
            <w:tcW w:type="dxa" w:w="302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231.49%</w:t>
            </w:r>
          </w:p>
        </w:tc>
        <w:tc>
          <w:tcPr>
            <w:tcW w:type="dxa" w:w="309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3.3149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随后谷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2008Q4</w:t>
            </w:r>
          </w:p>
        </w:tc>
        <w:tc>
          <w:tcPr>
            <w:tcW w:type="dxa" w:w="302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72.47%</w:t>
            </w:r>
          </w:p>
        </w:tc>
        <w:tc>
          <w:tcPr>
            <w:tcW w:type="dxa" w:w="309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1.7247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回撤及期末</w:t>
            </w:r>
          </w:p>
        </w:tc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47.97%</w:t>
            </w:r>
          </w:p>
        </w:tc>
        <w:tc>
          <w:tcPr>
            <w:tcW w:type="dxa" w:w="302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曾恢复，图期末高于所选峰</w:t>
            </w:r>
          </w:p>
        </w:tc>
        <w:tc>
          <w:tcPr>
            <w:tcW w:type="dxa" w:w="309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期末财富 5.0460</w:t>
            </w:r>
          </w:p>
        </w:tc>
      </w:tr>
    </w:tbl>
    <w:p/>
    <w:p>
      <w:r>
        <w:t>基准财富回撤＝1－(1＋谷累计增长率)/(1＋峰累计增长率)＝1－1.724661/3.314890＝47.97%。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相对路径</w:t>
            </w:r>
          </w:p>
        </w:tc>
        <w:tc>
          <w:tcPr>
            <w:tcW w:type="dxa" w:w="16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季度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基金累计增长率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基准累计增长率</w:t>
            </w:r>
          </w:p>
        </w:tc>
        <w:tc>
          <w:tcPr>
            <w:tcW w:type="dxa" w:w="201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相对财富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在先相对峰</w:t>
            </w:r>
          </w:p>
        </w:tc>
        <w:tc>
          <w:tcPr>
            <w:tcW w:type="dxa" w:w="16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2021Q3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1407.05%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324.08%</w:t>
            </w:r>
          </w:p>
        </w:tc>
        <w:tc>
          <w:tcPr>
            <w:tcW w:type="dxa" w:w="201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3.5537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随后相对谷</w:t>
            </w:r>
          </w:p>
        </w:tc>
        <w:tc>
          <w:tcPr>
            <w:tcW w:type="dxa" w:w="165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2024Q1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668.30%</w:t>
            </w:r>
          </w:p>
        </w:tc>
        <w:tc>
          <w:tcPr>
            <w:tcW w:type="dxa" w:w="208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364.34%</w:t>
            </w:r>
          </w:p>
        </w:tc>
        <w:tc>
          <w:tcPr>
            <w:tcW w:type="dxa" w:w="2016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1.6546</w:t>
            </w:r>
          </w:p>
        </w:tc>
      </w:tr>
    </w:tbl>
    <w:p/>
    <w:p>
      <w:r>
        <w:t>相对峰＝(1＋14.070504)/(1＋3.240846)＝3.553655；相对谷＝(1＋6.682986)/(1＋3.643435)＝1.654591。相对财富回落＝1－1.654591/3.553655＝53.44%。</w:t>
      </w:r>
    </w:p>
    <w:p>
      <w:r>
        <w:t>截至图期末，相对财富约1.7938，图期内尚未恢复，期末低于所选峰。该状态只针对本项所选峰，不替代后来更高峰的恢复判断。</w:t>
      </w:r>
    </w:p>
    <w:p>
      <w:r>
        <w:t>基准早期峰后的财富回撤与基金较晚的相对回落发生在不同期间。2024年末基准已高于所选早期峰，基金相对财富仍低于2021相对峰；2025H1相对差改善为2.06个百分点，但过去三年差−37.60个百分点，需要解释红利策略执行及长期偏离。</w:t>
      </w:r>
    </w:p>
    <w:p>
      <w:r>
        <w:t>依据：华夏红利混合_2024年报_20250331.pdf，PDF第6页3.2.2完整历史图；基金蓝线与业绩基准紫线；对应年/中报2.2和3.2.1。</w:t>
      </w:r>
    </w:p>
    <w:p>
      <w:pPr>
        <w:pStyle w:val="Heading1"/>
        <w:pageBreakBefore/>
      </w:pPr>
      <w:r>
        <w:t>五 治理意见与后续复核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产品</w:t>
            </w:r>
          </w:p>
        </w:tc>
        <w:tc>
          <w:tcPr>
            <w:tcW w:type="dxa" w:w="46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观察意见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尚需证据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大盘精选</w:t>
            </w:r>
          </w:p>
        </w:tc>
        <w:tc>
          <w:tcPr>
            <w:tcW w:type="dxa" w:w="46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保留研究观察，先补数据确认接近相对路径；2025H1相对改善但过去三年仍落后，不能凭长期累计高收益推定近期胜任。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同日复权净值、基准历史适用定义、各类别序列与投资执行。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回报</w:t>
            </w:r>
          </w:p>
        </w:tc>
        <w:tc>
          <w:tcPr>
            <w:tcW w:type="dxa" w:w="46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按存款比较标准解释绝对回报目标，分别观察基金市场风险和长期相对落后；目标不是保本承诺。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合同风险与投资范围、配置执行、同日复权与实际观察授权。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策略精选</w:t>
            </w:r>
          </w:p>
        </w:tc>
        <w:tc>
          <w:tcPr>
            <w:tcW w:type="dxa" w:w="46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调整观察重点至近期及中期相对落后、灵活配置执行，基准权重与实际配置分别核。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股债实际暴露、策略分工、决策记录与基准历史定义。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红利</w:t>
            </w:r>
          </w:p>
        </w:tc>
        <w:tc>
          <w:tcPr>
            <w:tcW w:type="dxa" w:w="46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补证后继续审议长期相对落后，近期正相对差不足以单独确认长期改善。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红利选股与持仓执行、同日基准和基金数据、观察规则。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责任岗位</w:t>
            </w:r>
          </w:p>
        </w:tc>
        <w:tc>
          <w:tcPr>
            <w:tcW w:type="dxa" w:w="46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证据及用途</w:t>
            </w:r>
          </w:p>
        </w:tc>
        <w:tc>
          <w:tcPr>
            <w:tcW w:type="dxa" w:w="338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再议条件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风险</w:t>
            </w:r>
          </w:p>
        </w:tc>
        <w:tc>
          <w:tcPr>
            <w:tcW w:type="dxa" w:w="46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完整同日复权基金/基准序列、历史分配与实际类别图期；确认精确路径及竞争区间。</w:t>
            </w:r>
          </w:p>
        </w:tc>
        <w:tc>
          <w:tcPr>
            <w:tcW w:type="dxa" w:w="338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数据口径闭合并复算后，才能给唯一极值排名或主动波动统计。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产品治理</w:t>
            </w:r>
          </w:p>
        </w:tc>
        <w:tc>
          <w:tcPr>
            <w:tcW w:type="dxa" w:w="46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有效合同、基准历次定义及生效范围；确定比较对象是否覆盖实际授权目标。</w:t>
            </w:r>
          </w:p>
        </w:tc>
        <w:tc>
          <w:tcPr>
            <w:tcW w:type="dxa" w:w="338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取得适用版本及审批记录后再讨论基准调整；现阶段不下达变更。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基金研究</w:t>
            </w:r>
          </w:p>
        </w:tc>
        <w:tc>
          <w:tcPr>
            <w:tcW w:type="dxa" w:w="46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同期持仓、实际配置及策略决策资料；说明长期和近期偏离的具体来源。</w:t>
            </w:r>
          </w:p>
        </w:tc>
        <w:tc>
          <w:tcPr>
            <w:tcW w:type="dxa" w:w="338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能对应实际执行时再更新原因及观察重点；不把基准权重当实仓。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会议秘书</w:t>
            </w:r>
          </w:p>
        </w:tc>
        <w:tc>
          <w:tcPr>
            <w:tcW w:type="dxa" w:w="460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研究名单、观察安排及后续补证记录；保持意见与授权状态对应。</w:t>
            </w:r>
          </w:p>
        </w:tc>
        <w:tc>
          <w:tcPr>
            <w:tcW w:type="dxa" w:w="3384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各实际缺口闭合后再次审议；建议不写成已执行交易。</w:t>
            </w:r>
          </w:p>
        </w:tc>
      </w:tr>
    </w:tbl>
    <w:p/>
    <w:p>
      <w:r>
        <w:t>各历史图起点不同、基准配置不同，不能给共同起止日风险排名或构造未持有的组合最大回撤。相对财富经历不等于经理个人独立贡献；基准与基金的历史跌幅不构成未来损失上限。基准适配性需结合目标和执行证据，现有单一最大回落不会自动产生更换基准义务。</w:t>
      </w:r>
    </w:p>
    <w:p>
      <w:pPr>
        <w:pStyle w:val="Heading1"/>
        <w:pageBreakBefore w:val="0"/>
      </w:pPr>
      <w:r>
        <w:t>六 附件索引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61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文件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  <w:shd w:fill="1F4E78"/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业务用途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华夏回报混合_2024年报_20250331.pdf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年度基准、统计及完整历史图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华夏回报混合_2025一季报_20250422.pdf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近期季度统计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华夏回报混合_2025中报_20250830.pdf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基准适用范围与近期滚动统计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华夏大盘精选混合_2024年报_20250331.pdf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年度基准、统计及完整历史图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华夏大盘精选混合_2025中报_20250830.pdf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基准适用范围与近期滚动统计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华夏策略精选混合_2024年报_20250331.pdf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年度基准、统计及完整历史图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华夏策略精选混合_2025中报_20250830.pdf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基准适用范围与近期滚动统计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华夏红利混合_2024年报_20250331.pdf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年度基准、统计及完整历史图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华夏红利混合_2025一季报_20250422.pdf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近期季度统计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华夏红利混合_2025中报_20250830.pdf</w:t>
            </w:r>
          </w:p>
        </w:tc>
        <w:tc>
          <w:tcPr>
            <w:tcW w:type="dxa" w:w="3528"/>
            <w:vAlign w:val="center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基准适用范围与近期滚动统计</w:t>
            </w:r>
          </w:p>
        </w:tc>
      </w:tr>
    </w:tbl>
    <w:p/>
    <w:p>
      <w:r>
        <w:t>引用页码为从封面起算的PDF物理页。源图与表格按对应基金及份额类别使用，完整极值图期与近期披露期分别记录。</w:t>
      </w:r>
    </w:p>
    <w:sectPr w:rsidR="00FC693F" w:rsidRPr="0006063C" w:rsidSect="00034616">
      <w:footerReference w:type="default" r:id="rId9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00" w:line="264" w:lineRule="auto"/>
    </w:pPr>
    <w:rPr>
      <w:rFonts w:ascii="微软雅黑" w:hAnsi="微软雅黑" w:eastAsia="微软雅黑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64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4090</Words>
  <Characters>6856</Characters>
  <Application>Microsoft Office Word</Application>
  <DocSecurity>0</DocSecurity>
  <Lines>0</Lines>
  <Paragraphs>368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/>
</file>