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 xml:space="preserve">SHOPLIFE</w:t>
      </w:r>
    </w:p>
    <w:p>
      <w:pPr>
        <w:spacing w:after="40"/>
        <w:jc w:val="center"/>
      </w:pPr>
      <w:r>
        <w:rPr>
          <w:b/>
          <w:bCs/>
          <w:color w:val="B8860B"/>
          <w:sz w:val="34"/>
          <w:szCs w:val="34"/>
        </w:rPr>
        <w:t xml:space="preserve">CHÍNH SÁCH HOA HỒNG ĐẠI LÝ</w:t>
      </w:r>
    </w:p>
    <w:p>
      <w:pPr>
        <w:spacing w:after="400"/>
        <w:jc w:val="center"/>
      </w:pPr>
      <w:r>
        <w:rPr>
          <w:i/>
          <w:iCs/>
          <w:color w:val="444444"/>
          <w:sz w:val="22"/>
          <w:szCs w:val="22"/>
        </w:rPr>
        <w:t xml:space="preserve">Tổng hợp hệ thống hoa hồng, đồng hưởng, thưởng nhóm và đồng chia toàn quốc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Hoa hồng bán hàng cho khách tiêu dùng</w:t>
      </w:r>
    </w:p>
    <w:tbl>
      <w:tblPr>
        <w:tblW w:type="dxa" w:w="95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8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Loại hoa hồng</w:t>
            </w:r>
          </w:p>
        </w:tc>
        <w:tc>
          <w:tcPr>
            <w:tcW w:type="dxa" w:w="45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Tỷ lệ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Trực tiếp</w:t>
            </w:r>
          </w:p>
        </w:tc>
        <w:tc>
          <w:tcPr>
            <w:tcW w:type="dxa" w:w="4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10% – 30% doanh số tiêu dùng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Gián tiếp</w:t>
            </w:r>
          </w:p>
        </w:tc>
        <w:tc>
          <w:tcPr>
            <w:tcW w:type="dxa" w:w="4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5% doanh số tiêu dùng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Ví dụ minh họa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 đơn hàng × 15.000.000đ = 45.000.000đ doanh số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Cơ sở tính thu nhập = 95% × 45.000.000đ = 42.750.000đ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Thu nhập trực tiếp (30%) = 12.825.000đ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Thu nhập gián tiếp (5%) = 2.137.500đ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Cơ cấu phân bổ doanh số mỗi đơn hàng (15.000.000đ)</w:t>
      </w:r>
    </w:p>
    <w:tbl>
      <w:tblPr>
        <w:tblW w:type="dxa" w:w="95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8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Hạng mục</w:t>
            </w:r>
          </w:p>
        </w:tc>
        <w:tc>
          <w:tcPr>
            <w:tcW w:type="dxa" w:w="45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Tỷ lệ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Người kinh doanh</w:t>
            </w:r>
          </w:p>
        </w:tc>
        <w:tc>
          <w:tcPr>
            <w:tcW w:type="dxa" w:w="4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70%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Thuế</w:t>
            </w:r>
          </w:p>
        </w:tc>
        <w:tc>
          <w:tcPr>
            <w:tcW w:type="dxa" w:w="4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10%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Vận hành công ty</w:t>
            </w:r>
          </w:p>
        </w:tc>
        <w:tc>
          <w:tcPr>
            <w:tcW w:type="dxa" w:w="4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10%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Chương trình Promotion / tiêu dùng</w:t>
            </w:r>
          </w:p>
        </w:tc>
        <w:tc>
          <w:tcPr>
            <w:tcW w:type="dxa" w:w="4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10%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Mốc rank theo doanh số tích lũy</w:t>
      </w:r>
    </w:p>
    <w:tbl>
      <w:tblPr>
        <w:tblW w:type="dxa" w:w="95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8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Mốc</w:t>
            </w:r>
          </w:p>
        </w:tc>
        <w:tc>
          <w:tcPr>
            <w:tcW w:type="dxa" w:w="45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Doanh số tích lũy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Cộng tác viên</w:t>
            </w:r>
          </w:p>
        </w:tc>
        <w:tc>
          <w:tcPr>
            <w:tcW w:type="dxa" w:w="4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1.000.000đ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Đối tác</w:t>
            </w:r>
          </w:p>
        </w:tc>
        <w:tc>
          <w:tcPr>
            <w:tcW w:type="dxa" w:w="4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3.000.000đ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Đại lý</w:t>
            </w:r>
          </w:p>
        </w:tc>
        <w:tc>
          <w:tcPr>
            <w:tcW w:type="dxa" w:w="4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15.000.000đ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Đồng hưởng combo chính (theo tuyến dưới)</w:t>
      </w:r>
    </w:p>
    <w:tbl>
      <w:tblPr>
        <w:tblW w:type="dxa" w:w="95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8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Combo</w:t>
            </w:r>
          </w:p>
        </w:tc>
        <w:tc>
          <w:tcPr>
            <w:tcW w:type="dxa" w:w="65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Tỷ lệ đồng hưởng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Combo 3tr</w:t>
            </w:r>
          </w:p>
        </w:tc>
        <w:tc>
          <w:tcPr>
            <w:tcW w:type="dxa" w:w="6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5%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Combo 15tr</w:t>
            </w:r>
          </w:p>
        </w:tc>
        <w:tc>
          <w:tcPr>
            <w:tcW w:type="dxa" w:w="6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5% (3tr) + 5% (15tr)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Combo 60tr</w:t>
            </w:r>
          </w:p>
        </w:tc>
        <w:tc>
          <w:tcPr>
            <w:tcW w:type="dxa" w:w="6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5% (3tr) + 5% (15tr) + 5% (60tr) + 4% đồng chia toàn công ty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i/>
          <w:iCs/>
          <w:color w:val="8A6D00"/>
          <w:sz w:val="20"/>
          <w:szCs w:val="20"/>
        </w:rPr>
        <w:t xml:space="preserve">⚠ Lưu ý: Chỉ áp dụng từ cấp C3 trở lên. Chỉ nhận từ tuyến dưới và đồng cấp.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Thưởng nhóm đại lý (theo doanh số nhóm hàng tháng)</w:t>
      </w:r>
    </w:p>
    <w:tbl>
      <w:tblPr>
        <w:tblW w:type="dxa" w:w="95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508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Mốc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Doanh số thưởng</w:t>
            </w:r>
          </w:p>
        </w:tc>
        <w:tc>
          <w:tcPr>
            <w:tcW w:type="dxa" w:w="25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Tỷ lệ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Mốc 1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10.000.000 – 100.000.000đ</w:t>
            </w:r>
          </w:p>
        </w:tc>
        <w:tc>
          <w:tcPr>
            <w:tcW w:type="dxa" w:w="2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4%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Mốc 2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100.000.000 – 500.000.000đ</w:t>
            </w:r>
          </w:p>
        </w:tc>
        <w:tc>
          <w:tcPr>
            <w:tcW w:type="dxa" w:w="2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6%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Mốc 3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500.000.000 – 1.000.000.000đ</w:t>
            </w:r>
          </w:p>
        </w:tc>
        <w:tc>
          <w:tcPr>
            <w:tcW w:type="dxa" w:w="2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8%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Mốc 4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&gt; 1.000.000.000đ</w:t>
            </w:r>
          </w:p>
        </w:tc>
        <w:tc>
          <w:tcPr>
            <w:tcW w:type="dxa" w:w="2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10%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Cơ chế "không tụt hạng"</w:t>
      </w:r>
    </w:p>
    <w:p>
      <w:pPr>
        <w:spacing w:after="120"/>
      </w:pPr>
      <w:r>
        <w:rPr>
          <w:sz w:val="22"/>
          <w:szCs w:val="22"/>
        </w:rPr>
        <w:t xml:space="preserve">Đạt mốc nào ở tháng trước thì tháng sau vẫn được hưởng tối thiểu tỷ lệ của mốc đó, dù doanh số tháng sau thấp hơn.</w:t>
      </w:r>
    </w:p>
    <w:p>
      <w:pPr>
        <w:spacing w:after="200"/>
      </w:pPr>
      <w:r>
        <w:rPr>
          <w:i/>
          <w:iCs/>
          <w:color w:val="8A6D00"/>
          <w:sz w:val="20"/>
          <w:szCs w:val="20"/>
        </w:rPr>
        <w:t xml:space="preserve">Ví dụ: Tháng trước đạt Mốc 4 (10%) → tháng sau chỉ đạt 800.000.000đ (đáng lẽ là Mốc 3 = 8%) → vẫn nhận 10% = 80.000.000đ.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Thưởng theo cấp bậc đại lý C1–C9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6.1 Điều kiện lên cấp và tỷ lệ đồng chia (ĐC)</w:t>
      </w:r>
    </w:p>
    <w:tbl>
      <w:tblPr>
        <w:tblW w:type="dxa" w:w="95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708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Cấp</w:t>
            </w:r>
          </w:p>
        </w:tc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Điều kiện lên cấp</w:t>
            </w:r>
          </w:p>
        </w:tc>
        <w:tc>
          <w:tcPr>
            <w:tcW w:type="dxa" w:w="27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Tỷ lệ đồng chia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C1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3F1 đạt mức Đại lý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4%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C2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3F1 đạt mức Đại lý C1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2%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C3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3F1 đạt mức Đại lý C2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1%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C4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3F1 đạt mức Đại lý C3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0.5%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C5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3F1 đạt mức Đại lý C4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0.5%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C6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2F1 đạt C5 + 1F1 đạt C4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0.5%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C7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2F1 đạt C6 + 1F1 đạt C5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0.5%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C8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2F1 đạt C7 + 1F1 đạt C6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0.5%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C9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3F1 đạt mức Đại lý C7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0.5%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iCs/>
          <w:color w:val="8A6D00"/>
          <w:sz w:val="20"/>
          <w:szCs w:val="20"/>
        </w:rPr>
        <w:t xml:space="preserve">F1 = tuyến dưới trực tiếp (thế hệ 1).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6.2 Công thức tính quỹ đồng chia toàn quốc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Quỹ cấp = Doanh số toàn quốc × Tỷ lệ cấp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Mỗi người nhận = Quỹ cấp ÷ Số người đạt cấp đó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6.3 Minh họa theo 3 kịch bản doanh số toàn quốc</w:t>
      </w:r>
    </w:p>
    <w:p>
      <w:pPr>
        <w:spacing w:after="120"/>
      </w:pPr>
      <w:r>
        <w:rPr>
          <w:i/>
          <w:iCs/>
          <w:color w:val="444444"/>
          <w:sz w:val="20"/>
          <w:szCs w:val="20"/>
        </w:rPr>
        <w:t xml:space="preserve">Giả định số người đạt mỗi cấp: C1=50, C2=30, C3=20, C4=10, C5=5, C6=4, C7=3, C8=2, C9=1</w:t>
      </w:r>
    </w:p>
    <w:p>
      <w:pPr>
        <w:spacing w:after="100"/>
      </w:pPr>
    </w:p>
    <w:tbl>
      <w:tblPr>
        <w:tblW w:type="dxa" w:w="95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2708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Cấp</w:t>
            </w:r>
          </w:p>
        </w:tc>
        <w:tc>
          <w:tcPr>
            <w:tcW w:type="dxa" w:w="2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DS 10 tỷ
(quỹ 1 tỷ)</w:t>
            </w:r>
          </w:p>
        </w:tc>
        <w:tc>
          <w:tcPr>
            <w:tcW w:type="dxa" w:w="2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DS 30 tỷ
(quỹ 3 tỷ)</w:t>
            </w:r>
          </w:p>
        </w:tc>
        <w:tc>
          <w:tcPr>
            <w:tcW w:type="dxa" w:w="27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DS 100 tỷ
(quỹ 10 tỷ)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C1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8.000.000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24.000.000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80.000.000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C2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6.666.667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20.000.000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66.666.667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C3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5.000.000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15.000.000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50.000.000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C4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5.000.000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15.000.000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50.000.000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C5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10.000.000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30.000.000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100.000.000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C6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12.500.000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37.500.000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125.000.000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C7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16.666.667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50.000.000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166.666.667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C8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25.000.000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75.000.000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250.000.000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C9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50.000.000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150.000.000</w:t>
            </w:r>
          </w:p>
        </w:tc>
        <w:tc>
          <w:tcPr>
            <w:tcW w:type="dxa" w:w="27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500.000.000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i/>
          <w:iCs/>
          <w:sz w:val="22"/>
          <w:szCs w:val="22"/>
        </w:rPr>
        <w:t xml:space="preserve">Nhận xét: Càng lên cấp cao, tỷ lệ % càng nhỏ, nhưng số người đạt cấp giảm mạnh theo cấp số nhân (do điều kiện 2–3 F1), nên thu nhập mỗi người ở cấp cao vẫn tăng mạnh hơn nhiều so với cấp thấp. Đây là động lực chính thúc đẩy đại lý phát triển hệ thống theo chiều sâu.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Thưởng theo doanh số thưởng (bảng riêng)</w:t>
      </w:r>
    </w:p>
    <w:tbl>
      <w:tblPr>
        <w:tblW w:type="dxa" w:w="95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8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Cấp</w:t>
            </w:r>
          </w:p>
        </w:tc>
        <w:tc>
          <w:tcPr>
            <w:tcW w:type="dxa" w:w="45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Tỷ lệ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C1</w:t>
            </w:r>
          </w:p>
        </w:tc>
        <w:tc>
          <w:tcPr>
            <w:tcW w:type="dxa" w:w="4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10%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C2</w:t>
            </w:r>
          </w:p>
        </w:tc>
        <w:tc>
          <w:tcPr>
            <w:tcW w:type="dxa" w:w="4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5%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C3</w:t>
            </w:r>
          </w:p>
        </w:tc>
        <w:tc>
          <w:tcPr>
            <w:tcW w:type="dxa" w:w="4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2%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Hoa hồng theo tầng đại lý (thế hệ)</w:t>
      </w:r>
    </w:p>
    <w:tbl>
      <w:tblPr>
        <w:tblW w:type="dxa" w:w="95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8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Tầng</w:t>
            </w:r>
          </w:p>
        </w:tc>
        <w:tc>
          <w:tcPr>
            <w:tcW w:type="dxa" w:w="45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Tỷ lệ hoa hồng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Đại lý thế hệ 1 (F1)</w:t>
            </w:r>
          </w:p>
        </w:tc>
        <w:tc>
          <w:tcPr>
            <w:tcW w:type="dxa" w:w="4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5%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Đại lý thế hệ 2 (F2)</w:t>
            </w:r>
          </w:p>
        </w:tc>
        <w:tc>
          <w:tcPr>
            <w:tcW w:type="dxa" w:w="4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5%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Đại lý thế hệ 3 (F3)</w:t>
            </w:r>
          </w:p>
        </w:tc>
        <w:tc>
          <w:tcPr>
            <w:tcW w:type="dxa" w:w="4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5%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i/>
          <w:iCs/>
          <w:color w:val="8A6D00"/>
          <w:sz w:val="20"/>
          <w:szCs w:val="20"/>
        </w:rPr>
        <w:t xml:space="preserve">Áp dụng điều kiện: từ cấp C3 mới được nhận, chỉ nhận dưới cấp và đồng cấp.</w:t>
      </w:r>
    </w:p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Phân bổ khi rút hoa hồng thưởng</w:t>
      </w:r>
    </w:p>
    <w:p>
      <w:pPr>
        <w:spacing w:after="120"/>
      </w:pPr>
      <w:r>
        <w:rPr>
          <w:sz w:val="22"/>
          <w:szCs w:val="22"/>
        </w:rPr>
        <w:t xml:space="preserve">Áp dụng cho tất cả đơn hàng phát sinh hoa hồng trên sàn thương mại điện tử Shoplife.</w:t>
      </w:r>
    </w:p>
    <w:tbl>
      <w:tblPr>
        <w:tblW w:type="dxa" w:w="95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508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Hạng mục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Tỷ lệ</w:t>
            </w:r>
          </w:p>
        </w:tc>
        <w:tc>
          <w:tcPr>
            <w:tcW w:type="dxa" w:w="35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Ghi chú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Ví rút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65%</w:t>
            </w:r>
          </w:p>
        </w:tc>
        <w:tc>
          <w:tcPr>
            <w:tcW w:type="dxa" w:w="3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Tiền thực nhận về ví rút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Ví tiêu dùng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25%</w:t>
            </w:r>
          </w:p>
        </w:tc>
        <w:tc>
          <w:tcPr>
            <w:tcW w:type="dxa" w:w="3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Chỉ dùng mua sắm / thanh toán trên Shoplife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Thuế TNCN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10%</w:t>
            </w:r>
          </w:p>
        </w:tc>
        <w:tc>
          <w:tcPr>
            <w:tcW w:type="dxa" w:w="350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Yêu cầu bắt buộc cập nhật mã số thuế cá nhân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Tổng hợp logic toàn hệ thống</w:t>
      </w:r>
    </w:p>
    <w:p>
      <w:pPr>
        <w:spacing w:after="120"/>
      </w:pPr>
      <w:r>
        <w:rPr>
          <w:sz w:val="22"/>
          <w:szCs w:val="22"/>
        </w:rPr>
        <w:t xml:space="preserve">Hệ thống có 4 lớp thu nhập chồng lên nhau: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Hoa hồng bán hàng trực tiếp / gián tiếp (10–30% + 5%)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Đồng hưởng combo tuyến dưới (5% mỗi mốc combo, từ cấp C3)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Thưởng nhóm theo doanh số tháng (4–10%, cơ chế không tụt hạng)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Đồng chia toàn quốc theo cấp C1–C9 (4% → 0.5%, dựa trên tổng doanh số toàn công ty)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Khi rút tiền, chỉ 65% là tiền mặt thực nhận về ví rút; 25% bị khóa vào ví tiêu dùng nội bộ; 10% dành cho nghĩa vụ thuế thu nhập cá nhân.</w:t>
      </w:r>
    </w:p>
    <w:p>
      <w:pPr>
        <w:spacing w:after="300"/>
      </w:pPr>
    </w:p>
    <w:p>
      <w:pPr>
        <w:pBdr>
          <w:top w:val="single" w:color="CCCCCC" w:sz="4" w:space="8"/>
        </w:pBdr>
        <w:jc w:val="center"/>
      </w:pPr>
      <w:r>
        <w:rPr>
          <w:i/>
          <w:iCs/>
          <w:color w:val="888888"/>
          <w:sz w:val="18"/>
          <w:szCs w:val="18"/>
        </w:rPr>
        <w:t xml:space="preserve">Tài liệu tổng hợp từ "SHOPLIFE CƠ CHẾ" — chỉ mang tính tham khảo, số liệu minh họa dựa trên các giả định trong tài liệu gốc.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2026-08-02T16:48:33.365Z</dcterms:created>
  <dcterms:modified xsi:type="dcterms:W3CDTF">2026-08-02T16:48:33.376Z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