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752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1"/>
            <w:tcBorders>
              <w:bottom w:val="single" w:sz="18" w:space="0" w:color="A28040"/>
            </w:tcBorders>
            <w:shd w:val="clear" w:color="auto" w:fill="102440"/>
            <w:tcMar>
              <w:top w:w="250" w:type="dxa"/>
              <w:left w:w="300" w:type="dxa"/>
              <w:bottom w:w="210" w:type="dxa"/>
              <w:right w:w="300" w:type="dxa"/>
            </w:tcMar>
          </w:tcPr>
          <w:p>
            <w:pPr>
              <w:spacing w:before="0" w:after="40" w:line="240" w:lineRule="auto"/>
              <w:jc w:val="left"/>
            </w:pPr>
            <w:r>
              <w:rPr>
                <w:rFonts w:ascii="Georgia" w:hAnsi="Georgia" w:cs="Georgia"/>
                <w:b/>
                <w:bCs w:val="1"/>
                <w:color w:val="FFFFFF"/>
                <w:sz w:val="44"/>
                <w:szCs w:val="44"/>
              </w:rPr>
              <w:t>Ahmed Abdel Naby Abdel Azim</w:t>
            </w:r>
          </w:p>
          <w:p>
            <w:pPr>
              <w:spacing w:before="0" w:after="100" w:line="240" w:lineRule="auto"/>
              <w:jc w:val="left"/>
            </w:pPr>
            <w:r>
              <w:rPr>
                <w:rFonts w:ascii="Calibri" w:hAnsi="Calibri" w:cs="Calibri"/>
                <w:b/>
                <w:bCs w:val="1"/>
                <w:caps/>
                <w:color w:val="C6AA70"/>
                <w:spacing w:val="28"/>
                <w:sz w:val="18"/>
                <w:szCs w:val="18"/>
              </w:rPr>
              <w:t>ATTORNEY AT LAW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Arial"/>
                <w:color w:val="CED5DF"/>
                <w:sz w:val="19"/>
                <w:szCs w:val="19"/>
              </w:rPr>
              <w:t>Phone: +20 122 250 0093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4" w:color="A28040"/>
        </w:pBdr>
        <w:spacing w:before="260" w:after="80" w:line="240" w:lineRule="auto"/>
        <w:jc w:val="left"/>
      </w:pPr>
      <w:r>
        <w:rPr>
          <w:rFonts w:ascii="Georgia" w:hAnsi="Georgia" w:cs="Georgia"/>
          <w:b/>
          <w:bCs w:val="1"/>
          <w:color w:val="A28040"/>
          <w:sz w:val="27"/>
          <w:szCs w:val="27"/>
        </w:rPr>
        <w:t>|</w:t>
      </w:r>
      <w:r>
        <w:rPr>
          <w:rFonts w:ascii="Georgia" w:hAnsi="Georgia" w:cs="Georgia"/>
          <w:b/>
          <w:bCs w:val="1"/>
          <w:caps/>
          <w:color w:val="102440"/>
          <w:spacing w:val="22"/>
          <w:sz w:val="22"/>
          <w:szCs w:val="22"/>
        </w:rPr>
        <w:t xml:space="preserve">  Professional Summary</w:t>
      </w:r>
    </w:p>
    <w:p>
      <w:pPr>
        <w:spacing w:before="0" w:after="80" w:line="264" w:lineRule="auto"/>
        <w:jc w:val="both"/>
      </w:pPr>
      <w:r>
        <w:rPr>
          <w:rFonts w:ascii="Calibri" w:hAnsi="Calibri" w:cs="Arial"/>
          <w:color w:val="262C34"/>
          <w:sz w:val="20"/>
          <w:szCs w:val="20"/>
        </w:rPr>
        <w:t>Practicing attorney since 2015 with over ten years of experience litigating before criminal, civil, commercial, and personal status courts; establishing companies and factories; and handling registration and notarization procedures. Extensive experience drafting contracts, legal memoranda, and pleadings, and managing case files through judgment.</w:t>
      </w:r>
    </w:p>
    <w:p>
      <w:pPr>
        <w:keepNext/>
        <w:pBdr>
          <w:bottom w:val="single" w:sz="8" w:space="4" w:color="A28040"/>
        </w:pBdr>
        <w:spacing w:before="260" w:after="80" w:line="240" w:lineRule="auto"/>
        <w:jc w:val="left"/>
      </w:pPr>
      <w:r>
        <w:rPr>
          <w:rFonts w:ascii="Georgia" w:hAnsi="Georgia" w:cs="Georgia"/>
          <w:b/>
          <w:bCs w:val="1"/>
          <w:color w:val="A28040"/>
          <w:sz w:val="27"/>
          <w:szCs w:val="27"/>
        </w:rPr>
        <w:t>|</w:t>
      </w:r>
      <w:r>
        <w:rPr>
          <w:rFonts w:ascii="Georgia" w:hAnsi="Georgia" w:cs="Georgia"/>
          <w:b/>
          <w:bCs w:val="1"/>
          <w:caps/>
          <w:color w:val="102440"/>
          <w:spacing w:val="22"/>
          <w:sz w:val="22"/>
          <w:szCs w:val="22"/>
        </w:rPr>
        <w:t xml:space="preserve">  Practice Areas</w:t>
      </w:r>
    </w:p>
    <w:tbl>
      <w:tblPr>
        <w:tblW w:type="dxa" w:w="9752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76"/>
            <w:tcMar>
              <w:top w:w="25" w:type="dxa"/>
              <w:left w:w="0" w:type="dxa"/>
              <w:bottom w:w="25" w:type="dxa"/>
              <w:right w:w="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/>
                <w:b/>
                <w:bCs w:val="1"/>
                <w:color w:val="A28040"/>
                <w:sz w:val="20"/>
                <w:szCs w:val="20"/>
              </w:rPr>
              <w:t xml:space="preserve">▪  </w:t>
            </w:r>
            <w:r>
              <w:rPr>
                <w:rFonts w:ascii="Calibri" w:hAnsi="Calibri" w:cs="Arial"/>
                <w:color w:val="262C34"/>
                <w:sz w:val="20"/>
                <w:szCs w:val="20"/>
              </w:rPr>
              <w:t>Criminal Court Litigation</w:t>
            </w:r>
          </w:p>
        </w:tc>
        <w:tc>
          <w:tcPr>
            <w:tcW w:type="dxa" w:w="4876"/>
            <w:tcMar>
              <w:top w:w="25" w:type="dxa"/>
              <w:left w:w="0" w:type="dxa"/>
              <w:bottom w:w="25" w:type="dxa"/>
              <w:right w:w="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/>
                <w:b/>
                <w:bCs w:val="1"/>
                <w:color w:val="A28040"/>
                <w:sz w:val="20"/>
                <w:szCs w:val="20"/>
              </w:rPr>
              <w:t xml:space="preserve">▪  </w:t>
            </w:r>
            <w:r>
              <w:rPr>
                <w:rFonts w:ascii="Calibri" w:hAnsi="Calibri" w:cs="Arial"/>
                <w:color w:val="262C34"/>
                <w:sz w:val="20"/>
                <w:szCs w:val="20"/>
              </w:rPr>
              <w:t>Personal Status Cases</w:t>
            </w:r>
          </w:p>
        </w:tc>
      </w:tr>
      <w:tr>
        <w:tc>
          <w:tcPr>
            <w:tcW w:type="dxa" w:w="4876"/>
            <w:tcMar>
              <w:top w:w="25" w:type="dxa"/>
              <w:left w:w="0" w:type="dxa"/>
              <w:bottom w:w="25" w:type="dxa"/>
              <w:right w:w="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/>
                <w:b/>
                <w:bCs w:val="1"/>
                <w:color w:val="A28040"/>
                <w:sz w:val="20"/>
                <w:szCs w:val="20"/>
              </w:rPr>
              <w:t xml:space="preserve">▪  </w:t>
            </w:r>
            <w:r>
              <w:rPr>
                <w:rFonts w:ascii="Calibri" w:hAnsi="Calibri" w:cs="Arial"/>
                <w:color w:val="262C34"/>
                <w:sz w:val="20"/>
                <w:szCs w:val="20"/>
              </w:rPr>
              <w:t>Civil Court Litigation</w:t>
            </w:r>
          </w:p>
        </w:tc>
        <w:tc>
          <w:tcPr>
            <w:tcW w:type="dxa" w:w="4876"/>
            <w:tcMar>
              <w:top w:w="25" w:type="dxa"/>
              <w:left w:w="0" w:type="dxa"/>
              <w:bottom w:w="25" w:type="dxa"/>
              <w:right w:w="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/>
                <w:b/>
                <w:bCs w:val="1"/>
                <w:color w:val="A28040"/>
                <w:sz w:val="20"/>
                <w:szCs w:val="20"/>
              </w:rPr>
              <w:t xml:space="preserve">▪  </w:t>
            </w:r>
            <w:r>
              <w:rPr>
                <w:rFonts w:ascii="Calibri" w:hAnsi="Calibri" w:cs="Arial"/>
                <w:color w:val="262C34"/>
                <w:sz w:val="20"/>
                <w:szCs w:val="20"/>
              </w:rPr>
              <w:t>Company &amp; Factory Formation</w:t>
            </w:r>
          </w:p>
        </w:tc>
      </w:tr>
      <w:tr>
        <w:tc>
          <w:tcPr>
            <w:tcW w:type="dxa" w:w="4876"/>
            <w:tcMar>
              <w:top w:w="25" w:type="dxa"/>
              <w:left w:w="0" w:type="dxa"/>
              <w:bottom w:w="25" w:type="dxa"/>
              <w:right w:w="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/>
                <w:b/>
                <w:bCs w:val="1"/>
                <w:color w:val="A28040"/>
                <w:sz w:val="20"/>
                <w:szCs w:val="20"/>
              </w:rPr>
              <w:t xml:space="preserve">▪  </w:t>
            </w:r>
            <w:r>
              <w:rPr>
                <w:rFonts w:ascii="Calibri" w:hAnsi="Calibri" w:cs="Arial"/>
                <w:color w:val="262C34"/>
                <w:sz w:val="20"/>
                <w:szCs w:val="20"/>
              </w:rPr>
              <w:t>Commercial Court Litigation</w:t>
            </w:r>
          </w:p>
        </w:tc>
        <w:tc>
          <w:tcPr>
            <w:tcW w:type="dxa" w:w="4876"/>
            <w:tcMar>
              <w:top w:w="25" w:type="dxa"/>
              <w:left w:w="0" w:type="dxa"/>
              <w:bottom w:w="25" w:type="dxa"/>
              <w:right w:w="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/>
                <w:b/>
                <w:bCs w:val="1"/>
                <w:color w:val="A28040"/>
                <w:sz w:val="20"/>
                <w:szCs w:val="20"/>
              </w:rPr>
              <w:t xml:space="preserve">▪  </w:t>
            </w:r>
            <w:r>
              <w:rPr>
                <w:rFonts w:ascii="Calibri" w:hAnsi="Calibri" w:cs="Arial"/>
                <w:color w:val="262C34"/>
                <w:sz w:val="20"/>
                <w:szCs w:val="20"/>
              </w:rPr>
              <w:t>Registration, Notarization &amp; Enforcement</w:t>
            </w:r>
          </w:p>
        </w:tc>
      </w:tr>
    </w:tbl>
    <w:p>
      <w:pPr>
        <w:keepNext/>
        <w:pBdr>
          <w:bottom w:val="single" w:sz="8" w:space="4" w:color="A28040"/>
        </w:pBdr>
        <w:spacing w:before="260" w:after="80" w:line="240" w:lineRule="auto"/>
        <w:jc w:val="left"/>
      </w:pPr>
      <w:r>
        <w:rPr>
          <w:rFonts w:ascii="Georgia" w:hAnsi="Georgia" w:cs="Georgia"/>
          <w:b/>
          <w:bCs w:val="1"/>
          <w:color w:val="A28040"/>
          <w:sz w:val="27"/>
          <w:szCs w:val="27"/>
        </w:rPr>
        <w:t>|</w:t>
      </w:r>
      <w:r>
        <w:rPr>
          <w:rFonts w:ascii="Georgia" w:hAnsi="Georgia" w:cs="Georgia"/>
          <w:b/>
          <w:bCs w:val="1"/>
          <w:caps/>
          <w:color w:val="102440"/>
          <w:spacing w:val="22"/>
          <w:sz w:val="22"/>
          <w:szCs w:val="22"/>
        </w:rPr>
        <w:t xml:space="preserve">  Professional Experience</w:t>
      </w:r>
    </w:p>
    <w:tbl>
      <w:tblPr>
        <w:tblW w:type="dxa" w:w="9752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6046"/>
        <w:gridCol w:w="3706"/>
      </w:tblGrid>
      <w:tr>
        <w:tc>
          <w:tcPr>
            <w:tcW w:type="dxa" w:w="6046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Arial"/>
                <w:b/>
                <w:bCs w:val="1"/>
                <w:color w:val="102440"/>
                <w:sz w:val="23"/>
                <w:szCs w:val="23"/>
              </w:rPr>
              <w:t>Attorney at Law</w:t>
            </w:r>
          </w:p>
        </w:tc>
        <w:tc>
          <w:tcPr>
            <w:tcW w:type="dxa" w:w="3705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Arial"/>
                <w:b/>
                <w:bCs w:val="1"/>
                <w:color w:val="A28040"/>
                <w:sz w:val="20"/>
                <w:szCs w:val="20"/>
              </w:rPr>
              <w:t>2015 – Present</w:t>
            </w:r>
          </w:p>
        </w:tc>
      </w:tr>
    </w:tbl>
    <w:p>
      <w:pPr>
        <w:spacing w:before="0" w:after="60" w:line="264" w:lineRule="auto"/>
        <w:ind w:left="340" w:hanging="340"/>
        <w:jc w:val="left"/>
      </w:pPr>
      <w:r>
        <w:rPr>
          <w:rFonts w:ascii="Arial" w:hAnsi="Arial" w:cs="Arial"/>
          <w:b/>
          <w:bCs w:val="1"/>
          <w:color w:val="A28040"/>
          <w:sz w:val="20"/>
          <w:szCs w:val="20"/>
        </w:rPr>
        <w:t xml:space="preserve">▪  </w:t>
      </w:r>
      <w:r>
        <w:rPr>
          <w:rFonts w:ascii="Calibri" w:hAnsi="Calibri" w:cs="Arial"/>
          <w:color w:val="262C34"/>
          <w:sz w:val="20"/>
          <w:szCs w:val="20"/>
        </w:rPr>
        <w:t>Litigating before criminal, civil, commercial, and personal status courts.</w:t>
      </w:r>
    </w:p>
    <w:p>
      <w:pPr>
        <w:spacing w:before="0" w:after="60" w:line="264" w:lineRule="auto"/>
        <w:ind w:left="340" w:hanging="340"/>
        <w:jc w:val="left"/>
      </w:pPr>
      <w:r>
        <w:rPr>
          <w:rFonts w:ascii="Arial" w:hAnsi="Arial" w:cs="Arial"/>
          <w:b/>
          <w:bCs w:val="1"/>
          <w:color w:val="A28040"/>
          <w:sz w:val="20"/>
          <w:szCs w:val="20"/>
        </w:rPr>
        <w:t xml:space="preserve">▪  </w:t>
      </w:r>
      <w:r>
        <w:rPr>
          <w:rFonts w:ascii="Calibri" w:hAnsi="Calibri" w:cs="Arial"/>
          <w:color w:val="262C34"/>
          <w:sz w:val="20"/>
          <w:szCs w:val="20"/>
        </w:rPr>
        <w:t>Establishing companies and factories and completing their legal and commercial procedures.</w:t>
      </w:r>
    </w:p>
    <w:p>
      <w:pPr>
        <w:spacing w:before="0" w:after="60" w:line="264" w:lineRule="auto"/>
        <w:ind w:left="340" w:hanging="340"/>
        <w:jc w:val="left"/>
      </w:pPr>
      <w:r>
        <w:rPr>
          <w:rFonts w:ascii="Arial" w:hAnsi="Arial" w:cs="Arial"/>
          <w:b/>
          <w:bCs w:val="1"/>
          <w:color w:val="A28040"/>
          <w:sz w:val="20"/>
          <w:szCs w:val="20"/>
        </w:rPr>
        <w:t xml:space="preserve">▪  </w:t>
      </w:r>
      <w:r>
        <w:rPr>
          <w:rFonts w:ascii="Calibri" w:hAnsi="Calibri" w:cs="Arial"/>
          <w:color w:val="262C34"/>
          <w:sz w:val="20"/>
          <w:szCs w:val="20"/>
        </w:rPr>
        <w:t>Registration and notarization procedures, signature authentication, and enforcement of instruments.</w:t>
      </w:r>
    </w:p>
    <w:p>
      <w:pPr>
        <w:spacing w:before="0" w:after="60" w:line="264" w:lineRule="auto"/>
        <w:ind w:left="340" w:hanging="340"/>
        <w:jc w:val="left"/>
      </w:pPr>
      <w:r>
        <w:rPr>
          <w:rFonts w:ascii="Arial" w:hAnsi="Arial" w:cs="Arial"/>
          <w:b/>
          <w:bCs w:val="1"/>
          <w:color w:val="A28040"/>
          <w:sz w:val="20"/>
          <w:szCs w:val="20"/>
        </w:rPr>
        <w:t xml:space="preserve">▪  </w:t>
      </w:r>
      <w:r>
        <w:rPr>
          <w:rFonts w:ascii="Calibri" w:hAnsi="Calibri" w:cs="Arial"/>
          <w:color w:val="262C34"/>
          <w:sz w:val="20"/>
          <w:szCs w:val="20"/>
        </w:rPr>
        <w:t>Drafting and reviewing contracts of all types.</w:t>
      </w:r>
    </w:p>
    <w:p>
      <w:pPr>
        <w:spacing w:before="0" w:after="60" w:line="264" w:lineRule="auto"/>
        <w:ind w:left="340" w:hanging="340"/>
        <w:jc w:val="left"/>
      </w:pPr>
      <w:r>
        <w:rPr>
          <w:rFonts w:ascii="Arial" w:hAnsi="Arial" w:cs="Arial"/>
          <w:b/>
          <w:bCs w:val="1"/>
          <w:color w:val="A28040"/>
          <w:sz w:val="20"/>
          <w:szCs w:val="20"/>
        </w:rPr>
        <w:t xml:space="preserve">▪  </w:t>
      </w:r>
      <w:r>
        <w:rPr>
          <w:rFonts w:ascii="Calibri" w:hAnsi="Calibri" w:cs="Arial"/>
          <w:color w:val="262C34"/>
          <w:sz w:val="20"/>
          <w:szCs w:val="20"/>
        </w:rPr>
        <w:t>Preparing legal memoranda and pleadings, and managing case files through judgment.</w:t>
      </w:r>
    </w:p>
    <w:p>
      <w:pPr>
        <w:keepNext/>
        <w:pBdr>
          <w:bottom w:val="single" w:sz="8" w:space="4" w:color="A28040"/>
        </w:pBdr>
        <w:spacing w:before="260" w:after="80" w:line="240" w:lineRule="auto"/>
        <w:jc w:val="left"/>
      </w:pPr>
      <w:r>
        <w:rPr>
          <w:rFonts w:ascii="Georgia" w:hAnsi="Georgia" w:cs="Georgia"/>
          <w:b/>
          <w:bCs w:val="1"/>
          <w:color w:val="A28040"/>
          <w:sz w:val="27"/>
          <w:szCs w:val="27"/>
        </w:rPr>
        <w:t>|</w:t>
      </w:r>
      <w:r>
        <w:rPr>
          <w:rFonts w:ascii="Georgia" w:hAnsi="Georgia" w:cs="Georgia"/>
          <w:b/>
          <w:bCs w:val="1"/>
          <w:caps/>
          <w:color w:val="102440"/>
          <w:spacing w:val="22"/>
          <w:sz w:val="22"/>
          <w:szCs w:val="22"/>
        </w:rPr>
        <w:t xml:space="preserve">  Education</w:t>
      </w:r>
    </w:p>
    <w:p>
      <w:pPr>
        <w:spacing w:before="0" w:after="0" w:line="264" w:lineRule="auto"/>
        <w:ind w:left="340" w:hanging="340"/>
        <w:jc w:val="left"/>
      </w:pPr>
      <w:r>
        <w:rPr>
          <w:rFonts w:ascii="Arial" w:hAnsi="Arial" w:cs="Arial"/>
          <w:b/>
          <w:bCs w:val="1"/>
          <w:color w:val="A28040"/>
          <w:sz w:val="20"/>
          <w:szCs w:val="20"/>
        </w:rPr>
        <w:t xml:space="preserve">▪  </w:t>
      </w:r>
      <w:r>
        <w:rPr>
          <w:rFonts w:ascii="Calibri" w:hAnsi="Calibri" w:cs="Arial"/>
          <w:color w:val="262C34"/>
          <w:sz w:val="20"/>
          <w:szCs w:val="20"/>
        </w:rPr>
        <w:t>Bachelor of Laws (LL.B.)</w:t>
      </w:r>
    </w:p>
    <w:p>
      <w:pPr>
        <w:keepNext/>
        <w:pBdr>
          <w:bottom w:val="single" w:sz="8" w:space="4" w:color="A28040"/>
        </w:pBdr>
        <w:spacing w:before="260" w:after="80" w:line="240" w:lineRule="auto"/>
        <w:jc w:val="left"/>
      </w:pPr>
      <w:r>
        <w:rPr>
          <w:rFonts w:ascii="Georgia" w:hAnsi="Georgia" w:cs="Georgia"/>
          <w:b/>
          <w:bCs w:val="1"/>
          <w:color w:val="A28040"/>
          <w:sz w:val="27"/>
          <w:szCs w:val="27"/>
        </w:rPr>
        <w:t>|</w:t>
      </w:r>
      <w:r>
        <w:rPr>
          <w:rFonts w:ascii="Georgia" w:hAnsi="Georgia" w:cs="Georgia"/>
          <w:b/>
          <w:bCs w:val="1"/>
          <w:caps/>
          <w:color w:val="102440"/>
          <w:spacing w:val="22"/>
          <w:sz w:val="22"/>
          <w:szCs w:val="22"/>
        </w:rPr>
        <w:t xml:space="preserve">  Legal Skills</w:t>
      </w:r>
    </w:p>
    <w:tbl>
      <w:tblPr>
        <w:tblW w:type="dxa" w:w="9356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tcBorders>
              <w:top w:val="single" w:sz="4" w:space="0" w:color="DFE3E9"/>
              <w:left w:val="single" w:sz="4" w:space="0" w:color="DFE3E9"/>
              <w:bottom w:val="single" w:sz="4" w:space="0" w:color="DFE3E9"/>
              <w:right w:val="single" w:sz="4" w:space="0" w:color="DFE3E9"/>
            </w:tcBorders>
            <w:shd w:val="clear" w:color="auto" w:fill="F6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Arial"/>
                <w:color w:val="1E3452"/>
                <w:sz w:val="18"/>
                <w:szCs w:val="18"/>
              </w:rPr>
              <w:t>Contract drafting &amp; review</w:t>
            </w:r>
          </w:p>
        </w:tc>
        <w:tc>
          <w:tcPr>
            <w:tcW w:type="dxa" w:w="3118"/>
            <w:tcBorders>
              <w:top w:val="single" w:sz="4" w:space="0" w:color="DFE3E9"/>
              <w:left w:val="single" w:sz="4" w:space="0" w:color="DFE3E9"/>
              <w:bottom w:val="single" w:sz="4" w:space="0" w:color="DFE3E9"/>
              <w:right w:val="single" w:sz="4" w:space="0" w:color="DFE3E9"/>
            </w:tcBorders>
            <w:shd w:val="clear" w:color="auto" w:fill="F6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Arial"/>
                <w:color w:val="1E3452"/>
                <w:sz w:val="18"/>
                <w:szCs w:val="18"/>
              </w:rPr>
              <w:t>Legal memoranda &amp; pleadings</w:t>
            </w:r>
          </w:p>
        </w:tc>
        <w:tc>
          <w:tcPr>
            <w:tcW w:type="dxa" w:w="3118"/>
            <w:tcBorders>
              <w:top w:val="single" w:sz="4" w:space="0" w:color="DFE3E9"/>
              <w:left w:val="single" w:sz="4" w:space="0" w:color="DFE3E9"/>
              <w:bottom w:val="single" w:sz="4" w:space="0" w:color="DFE3E9"/>
              <w:right w:val="single" w:sz="4" w:space="0" w:color="DFE3E9"/>
            </w:tcBorders>
            <w:shd w:val="clear" w:color="auto" w:fill="F6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Arial"/>
                <w:color w:val="1E3452"/>
                <w:sz w:val="18"/>
                <w:szCs w:val="18"/>
              </w:rPr>
              <w:t>Court advocacy &amp; oral argument</w:t>
            </w:r>
          </w:p>
        </w:tc>
      </w:tr>
      <w:tr>
        <w:tc>
          <w:tcPr>
            <w:tcW w:type="dxa" w:w="3118"/>
            <w:tcBorders>
              <w:top w:val="single" w:sz="4" w:space="0" w:color="DFE3E9"/>
              <w:left w:val="single" w:sz="4" w:space="0" w:color="DFE3E9"/>
              <w:bottom w:val="single" w:sz="4" w:space="0" w:color="DFE3E9"/>
              <w:right w:val="single" w:sz="4" w:space="0" w:color="DFE3E9"/>
            </w:tcBorders>
            <w:shd w:val="clear" w:color="auto" w:fill="F6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Arial"/>
                <w:color w:val="1E3452"/>
                <w:sz w:val="18"/>
                <w:szCs w:val="18"/>
              </w:rPr>
              <w:t>Corporate formation &amp; procedures</w:t>
            </w:r>
          </w:p>
        </w:tc>
        <w:tc>
          <w:tcPr>
            <w:tcW w:type="dxa" w:w="3118"/>
            <w:tcBorders>
              <w:top w:val="single" w:sz="4" w:space="0" w:color="DFE3E9"/>
              <w:left w:val="single" w:sz="4" w:space="0" w:color="DFE3E9"/>
              <w:bottom w:val="single" w:sz="4" w:space="0" w:color="DFE3E9"/>
              <w:right w:val="single" w:sz="4" w:space="0" w:color="DFE3E9"/>
            </w:tcBorders>
            <w:shd w:val="clear" w:color="auto" w:fill="F6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Arial"/>
                <w:color w:val="1E3452"/>
                <w:sz w:val="18"/>
                <w:szCs w:val="18"/>
              </w:rPr>
              <w:t>Notarization &amp; powers of attorney</w:t>
            </w:r>
          </w:p>
        </w:tc>
        <w:tc>
          <w:tcPr>
            <w:tcW w:type="dxa" w:w="3118"/>
            <w:tcBorders>
              <w:top w:val="single" w:sz="4" w:space="0" w:color="DFE3E9"/>
              <w:left w:val="single" w:sz="4" w:space="0" w:color="DFE3E9"/>
              <w:bottom w:val="single" w:sz="4" w:space="0" w:color="DFE3E9"/>
              <w:right w:val="single" w:sz="4" w:space="0" w:color="DFE3E9"/>
            </w:tcBorders>
            <w:shd w:val="clear" w:color="auto" w:fill="F6F8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Arial"/>
                <w:color w:val="1E3452"/>
                <w:sz w:val="18"/>
                <w:szCs w:val="18"/>
              </w:rPr>
              <w:t>Case management &amp; follow-up</w:t>
            </w:r>
          </w:p>
        </w:tc>
      </w:tr>
    </w:tbl>
    <w:p>
      <w:pPr>
        <w:keepNext/>
        <w:pBdr>
          <w:bottom w:val="single" w:sz="8" w:space="4" w:color="A28040"/>
        </w:pBdr>
        <w:spacing w:before="260" w:after="80" w:line="240" w:lineRule="auto"/>
        <w:jc w:val="left"/>
      </w:pPr>
      <w:r>
        <w:rPr>
          <w:rFonts w:ascii="Georgia" w:hAnsi="Georgia" w:cs="Georgia"/>
          <w:b/>
          <w:bCs w:val="1"/>
          <w:color w:val="A28040"/>
          <w:sz w:val="27"/>
          <w:szCs w:val="27"/>
        </w:rPr>
        <w:t>|</w:t>
      </w:r>
      <w:r>
        <w:rPr>
          <w:rFonts w:ascii="Georgia" w:hAnsi="Georgia" w:cs="Georgia"/>
          <w:b/>
          <w:bCs w:val="1"/>
          <w:caps/>
          <w:color w:val="102440"/>
          <w:spacing w:val="22"/>
          <w:sz w:val="22"/>
          <w:szCs w:val="22"/>
        </w:rPr>
        <w:t xml:space="preserve">  Training &amp; Courses</w:t>
      </w:r>
    </w:p>
    <w:p>
      <w:pPr>
        <w:spacing w:before="0" w:after="60" w:line="264" w:lineRule="auto"/>
        <w:ind w:left="340" w:hanging="340"/>
        <w:jc w:val="left"/>
      </w:pPr>
      <w:r>
        <w:rPr>
          <w:rFonts w:ascii="Arial" w:hAnsi="Arial" w:cs="Arial"/>
          <w:b/>
          <w:bCs w:val="1"/>
          <w:color w:val="A28040"/>
          <w:sz w:val="20"/>
          <w:szCs w:val="20"/>
        </w:rPr>
        <w:t xml:space="preserve">▪  </w:t>
      </w:r>
      <w:r>
        <w:rPr>
          <w:rFonts w:ascii="Calibri" w:hAnsi="Calibri" w:cs="Arial"/>
          <w:color w:val="262C34"/>
          <w:sz w:val="20"/>
          <w:szCs w:val="20"/>
        </w:rPr>
        <w:t>Course by the Real Estate Registration Authority on powers of attorney.</w:t>
      </w:r>
    </w:p>
    <w:p>
      <w:pPr>
        <w:spacing w:before="0" w:after="60" w:line="264" w:lineRule="auto"/>
        <w:ind w:left="340" w:hanging="340"/>
        <w:jc w:val="left"/>
      </w:pPr>
      <w:r>
        <w:rPr>
          <w:rFonts w:ascii="Arial" w:hAnsi="Arial" w:cs="Arial"/>
          <w:b/>
          <w:bCs w:val="1"/>
          <w:color w:val="A28040"/>
          <w:sz w:val="20"/>
          <w:szCs w:val="20"/>
        </w:rPr>
        <w:t xml:space="preserve">▪  </w:t>
      </w:r>
      <w:r>
        <w:rPr>
          <w:rFonts w:ascii="Calibri" w:hAnsi="Calibri" w:cs="Arial"/>
          <w:color w:val="262C34"/>
          <w:sz w:val="20"/>
          <w:szCs w:val="20"/>
        </w:rPr>
        <w:t>ICDL – Computer literacy course.</w:t>
      </w:r>
    </w:p>
    <w:p>
      <w:pPr>
        <w:spacing w:before="0" w:after="0" w:line="264" w:lineRule="auto"/>
        <w:ind w:left="340" w:hanging="340"/>
        <w:jc w:val="left"/>
      </w:pPr>
      <w:r>
        <w:rPr>
          <w:rFonts w:ascii="Arial" w:hAnsi="Arial" w:cs="Arial"/>
          <w:b/>
          <w:bCs w:val="1"/>
          <w:color w:val="A28040"/>
          <w:sz w:val="20"/>
          <w:szCs w:val="20"/>
        </w:rPr>
        <w:t xml:space="preserve">▪  </w:t>
      </w:r>
      <w:r>
        <w:rPr>
          <w:rFonts w:ascii="Calibri" w:hAnsi="Calibri" w:cs="Arial"/>
          <w:color w:val="262C34"/>
          <w:sz w:val="20"/>
          <w:szCs w:val="20"/>
        </w:rPr>
        <w:t>Human development course.</w:t>
      </w:r>
    </w:p>
    <w:sectPr w:rsidR="00FC693F" w:rsidRPr="0006063C" w:rsidSect="00034616">
      <w:footerReference w:type="default" r:id="rId9"/>
      <w:pgSz w:w="11906" w:h="16838"/>
      <w:pgMar w:top="454" w:right="1077" w:bottom="850" w:left="1077" w:header="283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6" w:color="D6D8DC"/>
      </w:pBdr>
      <w:spacing w:before="0" w:after="0" w:line="240" w:lineRule="auto"/>
      <w:jc w:val="center"/>
    </w:pPr>
    <w:r>
      <w:rPr>
        <w:rFonts w:ascii="Calibri" w:hAnsi="Calibri" w:cs="Arial"/>
        <w:color w:val="6E7682"/>
        <w:sz w:val="16"/>
        <w:szCs w:val="16"/>
      </w:rPr>
      <w:t>Phone  +20 122 250 0093   ·   Ahmed Abdel Naby Abdel Azim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 w:cs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Ahmed Abdel Naby Abdel Azim — CV</dc:title>
  <dc:subject>Curriculum Vitae</dc:subject>
  <dc:creator>Ahmed Abdel Naby Abdel Azim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