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bidiVisual/>
        <w:tblW w:type="dxa" w:w="9752"/>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firstColumn="1" w:firstRow="1" w:lastColumn="0" w:lastRow="0" w:noHBand="0" w:noVBand="1" w:val="04A0"/>
      </w:tblPr>
      <w:tblGrid>
        <w:gridCol w:w="7938"/>
        <w:gridCol w:w="1814"/>
      </w:tblGrid>
      <w:tr>
        <w:tc>
          <w:tcPr>
            <w:tcW w:type="dxa" w:w="7937"/>
            <w:tcBorders>
              <w:bottom w:val="single" w:sz="18" w:space="0" w:color="A28040"/>
            </w:tcBorders>
            <w:shd w:val="clear" w:color="auto" w:fill="102440"/>
            <w:tcMar>
              <w:top w:w="250" w:type="dxa"/>
              <w:left w:w="300" w:type="dxa"/>
              <w:bottom w:w="210" w:type="dxa"/>
              <w:right w:w="300" w:type="dxa"/>
            </w:tcMar>
            <w:vAlign w:val="center"/>
          </w:tcPr>
          <w:p>
            <w:pPr>
              <w:bidi/>
              <w:spacing w:before="0" w:after="40" w:line="240" w:lineRule="auto"/>
              <w:jc w:val="right"/>
            </w:pPr>
            <w:r>
              <w:rPr>
                <w:rFonts w:ascii="Arial" w:hAnsi="Arial" w:cs="Arial"/>
                <w:b/>
                <w:bCs w:val="1"/>
                <w:color w:val="FFFFFF"/>
                <w:sz w:val="44"/>
                <w:szCs w:val="44"/>
                <w:rtl/>
              </w:rPr>
              <w:t>أحمد عبد النبي عبد العظيم</w:t>
            </w:r>
          </w:p>
          <w:p>
            <w:pPr>
              <w:bidi/>
              <w:spacing w:before="0" w:after="100" w:line="240" w:lineRule="auto"/>
              <w:jc w:val="right"/>
            </w:pPr>
            <w:r>
              <w:rPr>
                <w:rFonts w:ascii="Arial" w:hAnsi="Arial" w:cs="Arial"/>
                <w:b/>
                <w:bCs w:val="1"/>
                <w:color w:val="C6AA70"/>
                <w:sz w:val="23"/>
                <w:szCs w:val="23"/>
                <w:rtl/>
              </w:rPr>
              <w:t>محامٍ</w:t>
            </w:r>
          </w:p>
          <w:p>
            <w:pPr>
              <w:bidi/>
              <w:spacing w:before="0" w:after="0" w:line="240" w:lineRule="auto"/>
              <w:jc w:val="right"/>
            </w:pPr>
            <w:r>
              <w:rPr>
                <w:rFonts w:ascii="Arial" w:hAnsi="Arial" w:cs="Arial"/>
                <w:color w:val="CED5DF"/>
                <w:sz w:val="19"/>
                <w:szCs w:val="19"/>
                <w:rtl/>
              </w:rPr>
              <w:t>هاتف: 01222500093</w:t>
            </w:r>
          </w:p>
        </w:tc>
        <w:tc>
          <w:tcPr>
            <w:tcW w:type="dxa" w:w="1814"/>
            <w:tcBorders>
              <w:bottom w:val="single" w:sz="18" w:space="0" w:color="A28040"/>
            </w:tcBorders>
            <w:shd w:val="clear" w:color="auto" w:fill="102440"/>
            <w:tcMar>
              <w:top w:w="150" w:type="dxa"/>
              <w:left w:w="140" w:type="dxa"/>
              <w:bottom w:w="150" w:type="dxa"/>
              <w:right w:w="140" w:type="dxa"/>
            </w:tcMar>
            <w:vAlign w:val="center"/>
          </w:tcPr>
          <w:p>
            <w:pPr>
              <w:spacing w:before="0" w:after="0" w:line="240" w:lineRule="auto"/>
              <w:jc w:val="center"/>
            </w:pPr>
            <w:r>
              <w:drawing>
                <wp:inline xmlns:a="http://schemas.openxmlformats.org/drawingml/2006/main" xmlns:pic="http://schemas.openxmlformats.org/drawingml/2006/picture">
                  <wp:extent cx="827999" cy="827999"/>
                  <wp:docPr id="1" name="Picture 1"/>
                  <wp:cNvGraphicFramePr>
                    <a:graphicFrameLocks noChangeAspect="1"/>
                  </wp:cNvGraphicFramePr>
                  <a:graphic>
                    <a:graphicData uri="http://schemas.openxmlformats.org/drawingml/2006/picture">
                      <pic:pic>
                        <pic:nvPicPr>
                          <pic:cNvPr id="0" name="photo_circle_docx.png"/>
                          <pic:cNvPicPr/>
                        </pic:nvPicPr>
                        <pic:blipFill>
                          <a:blip r:embed="rId9"/>
                          <a:stretch>
                            <a:fillRect/>
                          </a:stretch>
                        </pic:blipFill>
                        <pic:spPr>
                          <a:xfrm>
                            <a:off x="0" y="0"/>
                            <a:ext cx="827999" cy="827999"/>
                          </a:xfrm>
                          <a:prstGeom prst="rect"/>
                        </pic:spPr>
                      </pic:pic>
                    </a:graphicData>
                  </a:graphic>
                </wp:inline>
              </w:drawing>
            </w:r>
          </w:p>
        </w:tc>
      </w:tr>
    </w:tbl>
    <w:p>
      <w:pPr>
        <w:spacing w:before="0" w:after="0" w:line="20" w:lineRule="exact"/>
      </w:pPr>
    </w:p>
    <w:p>
      <w:pPr>
        <w:keepNext/>
        <w:pBdr>
          <w:bottom w:val="single" w:sz="8" w:space="4" w:color="A28040"/>
        </w:pBdr>
        <w:bidi/>
        <w:spacing w:before="260" w:after="80" w:line="240" w:lineRule="auto"/>
        <w:jc w:val="right"/>
      </w:pPr>
      <w:r>
        <w:rPr>
          <w:rFonts w:ascii="Arial" w:hAnsi="Arial" w:cs="Arial"/>
          <w:b/>
          <w:bCs w:val="1"/>
          <w:color w:val="A28040"/>
          <w:sz w:val="30"/>
          <w:szCs w:val="30"/>
          <w:rtl/>
        </w:rPr>
        <w:t>|</w:t>
      </w:r>
      <w:r>
        <w:rPr>
          <w:rFonts w:ascii="Arial" w:hAnsi="Arial" w:cs="Arial"/>
          <w:b/>
          <w:bCs w:val="1"/>
          <w:color w:val="102440"/>
          <w:sz w:val="26"/>
          <w:szCs w:val="26"/>
          <w:rtl/>
        </w:rPr>
        <w:t xml:space="preserve">  الملخص المهني</w:t>
      </w:r>
    </w:p>
    <w:p>
      <w:pPr>
        <w:bidi/>
        <w:spacing w:before="0" w:after="80" w:line="264" w:lineRule="auto"/>
        <w:jc w:val="both"/>
      </w:pPr>
      <w:r>
        <w:rPr>
          <w:rFonts w:ascii="Arial" w:hAnsi="Arial" w:cs="Arial"/>
          <w:color w:val="262C34"/>
          <w:sz w:val="20"/>
          <w:szCs w:val="20"/>
          <w:rtl/>
        </w:rPr>
        <w:t>محامٍ ممارس منذ عام 2015 بخبرة تتجاوز عشر سنوات في الترافع أمام المحاكم الجنائية والمدنية والتجارية والأحوال الشخصية، وتأسيس الشركات والمصانع، وإجراءات التسجيل والشهر العقاري. خبرة واسعة في صياغة العقود والمذكرات والعرائض القانونية، ومتابعة ملفات القضايا حتى صدور الأحكام.</w:t>
      </w:r>
    </w:p>
    <w:p>
      <w:pPr>
        <w:keepNext/>
        <w:pBdr>
          <w:bottom w:val="single" w:sz="8" w:space="4" w:color="A28040"/>
        </w:pBdr>
        <w:bidi/>
        <w:spacing w:before="260" w:after="80" w:line="240" w:lineRule="auto"/>
        <w:jc w:val="right"/>
      </w:pPr>
      <w:r>
        <w:rPr>
          <w:rFonts w:ascii="Arial" w:hAnsi="Arial" w:cs="Arial"/>
          <w:b/>
          <w:bCs w:val="1"/>
          <w:color w:val="A28040"/>
          <w:sz w:val="30"/>
          <w:szCs w:val="30"/>
          <w:rtl/>
        </w:rPr>
        <w:t>|</w:t>
      </w:r>
      <w:r>
        <w:rPr>
          <w:rFonts w:ascii="Arial" w:hAnsi="Arial" w:cs="Arial"/>
          <w:b/>
          <w:bCs w:val="1"/>
          <w:color w:val="102440"/>
          <w:sz w:val="26"/>
          <w:szCs w:val="26"/>
          <w:rtl/>
        </w:rPr>
        <w:t xml:space="preserve">  مجالات الممارسة</w:t>
      </w:r>
    </w:p>
    <w:tbl>
      <w:tblPr>
        <w:bidiVisual/>
        <w:tblW w:type="dxa" w:w="9752"/>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firstColumn="1" w:firstRow="1" w:lastColumn="0" w:lastRow="0" w:noHBand="0" w:noVBand="1" w:val="04A0"/>
      </w:tblPr>
      <w:tblGrid>
        <w:gridCol w:w="4876"/>
        <w:gridCol w:w="4876"/>
      </w:tblGrid>
      <w:tr>
        <w:tc>
          <w:tcPr>
            <w:tcW w:type="dxa" w:w="4876"/>
            <w:tcMar>
              <w:top w:w="25" w:type="dxa"/>
              <w:left w:w="0" w:type="dxa"/>
              <w:bottom w:w="25" w:type="dxa"/>
              <w:right w:w="0" w:type="dxa"/>
            </w:tcMar>
          </w:tcPr>
          <w:p>
            <w:pPr>
              <w:bidi/>
              <w:spacing w:before="0" w:after="0" w:line="264" w:lineRule="auto"/>
              <w:jc w:val="right"/>
            </w:pPr>
            <w:r>
              <w:rPr>
                <w:rFonts w:ascii="Arial" w:hAnsi="Arial" w:cs="Arial"/>
                <w:b/>
                <w:bCs w:val="1"/>
                <w:color w:val="A28040"/>
                <w:sz w:val="20"/>
                <w:szCs w:val="20"/>
                <w:rtl/>
              </w:rPr>
              <w:t xml:space="preserve">▪  </w:t>
            </w:r>
            <w:r>
              <w:rPr>
                <w:rFonts w:ascii="Arial" w:hAnsi="Arial" w:cs="Arial"/>
                <w:color w:val="262C34"/>
                <w:sz w:val="20"/>
                <w:szCs w:val="20"/>
                <w:rtl/>
              </w:rPr>
              <w:t>الترافع أمام المحكمة الجنائية</w:t>
            </w:r>
          </w:p>
        </w:tc>
        <w:tc>
          <w:tcPr>
            <w:tcW w:type="dxa" w:w="4876"/>
            <w:tcMar>
              <w:top w:w="25" w:type="dxa"/>
              <w:left w:w="0" w:type="dxa"/>
              <w:bottom w:w="25" w:type="dxa"/>
              <w:right w:w="0" w:type="dxa"/>
            </w:tcMar>
          </w:tcPr>
          <w:p>
            <w:pPr>
              <w:bidi/>
              <w:spacing w:before="0" w:after="0" w:line="264" w:lineRule="auto"/>
              <w:jc w:val="right"/>
            </w:pPr>
            <w:r>
              <w:rPr>
                <w:rFonts w:ascii="Arial" w:hAnsi="Arial" w:cs="Arial"/>
                <w:b/>
                <w:bCs w:val="1"/>
                <w:color w:val="A28040"/>
                <w:sz w:val="20"/>
                <w:szCs w:val="20"/>
                <w:rtl/>
              </w:rPr>
              <w:t xml:space="preserve">▪  </w:t>
            </w:r>
            <w:r>
              <w:rPr>
                <w:rFonts w:ascii="Arial" w:hAnsi="Arial" w:cs="Arial"/>
                <w:color w:val="262C34"/>
                <w:sz w:val="20"/>
                <w:szCs w:val="20"/>
                <w:rtl/>
              </w:rPr>
              <w:t>قضايا ومحاكم الأحوال الشخصية</w:t>
            </w:r>
          </w:p>
        </w:tc>
      </w:tr>
      <w:tr>
        <w:tc>
          <w:tcPr>
            <w:tcW w:type="dxa" w:w="4876"/>
            <w:tcMar>
              <w:top w:w="25" w:type="dxa"/>
              <w:left w:w="0" w:type="dxa"/>
              <w:bottom w:w="25" w:type="dxa"/>
              <w:right w:w="0" w:type="dxa"/>
            </w:tcMar>
          </w:tcPr>
          <w:p>
            <w:pPr>
              <w:bidi/>
              <w:spacing w:before="0" w:after="0" w:line="264" w:lineRule="auto"/>
              <w:jc w:val="right"/>
            </w:pPr>
            <w:r>
              <w:rPr>
                <w:rFonts w:ascii="Arial" w:hAnsi="Arial" w:cs="Arial"/>
                <w:b/>
                <w:bCs w:val="1"/>
                <w:color w:val="A28040"/>
                <w:sz w:val="20"/>
                <w:szCs w:val="20"/>
                <w:rtl/>
              </w:rPr>
              <w:t xml:space="preserve">▪  </w:t>
            </w:r>
            <w:r>
              <w:rPr>
                <w:rFonts w:ascii="Arial" w:hAnsi="Arial" w:cs="Arial"/>
                <w:color w:val="262C34"/>
                <w:sz w:val="20"/>
                <w:szCs w:val="20"/>
                <w:rtl/>
              </w:rPr>
              <w:t>الترافع أمام المحكمة المدنية</w:t>
            </w:r>
          </w:p>
        </w:tc>
        <w:tc>
          <w:tcPr>
            <w:tcW w:type="dxa" w:w="4876"/>
            <w:tcMar>
              <w:top w:w="25" w:type="dxa"/>
              <w:left w:w="0" w:type="dxa"/>
              <w:bottom w:w="25" w:type="dxa"/>
              <w:right w:w="0" w:type="dxa"/>
            </w:tcMar>
          </w:tcPr>
          <w:p>
            <w:pPr>
              <w:bidi/>
              <w:spacing w:before="0" w:after="0" w:line="264" w:lineRule="auto"/>
              <w:jc w:val="right"/>
            </w:pPr>
            <w:r>
              <w:rPr>
                <w:rFonts w:ascii="Arial" w:hAnsi="Arial" w:cs="Arial"/>
                <w:b/>
                <w:bCs w:val="1"/>
                <w:color w:val="A28040"/>
                <w:sz w:val="20"/>
                <w:szCs w:val="20"/>
                <w:rtl/>
              </w:rPr>
              <w:t xml:space="preserve">▪  </w:t>
            </w:r>
            <w:r>
              <w:rPr>
                <w:rFonts w:ascii="Arial" w:hAnsi="Arial" w:cs="Arial"/>
                <w:color w:val="262C34"/>
                <w:sz w:val="20"/>
                <w:szCs w:val="20"/>
                <w:rtl/>
              </w:rPr>
              <w:t>تأسيس الشركات والمصانع</w:t>
            </w:r>
          </w:p>
        </w:tc>
      </w:tr>
      <w:tr>
        <w:tc>
          <w:tcPr>
            <w:tcW w:type="dxa" w:w="4876"/>
            <w:tcMar>
              <w:top w:w="25" w:type="dxa"/>
              <w:left w:w="0" w:type="dxa"/>
              <w:bottom w:w="25" w:type="dxa"/>
              <w:right w:w="0" w:type="dxa"/>
            </w:tcMar>
          </w:tcPr>
          <w:p>
            <w:pPr>
              <w:bidi/>
              <w:spacing w:before="0" w:after="0" w:line="264" w:lineRule="auto"/>
              <w:jc w:val="right"/>
            </w:pPr>
            <w:r>
              <w:rPr>
                <w:rFonts w:ascii="Arial" w:hAnsi="Arial" w:cs="Arial"/>
                <w:b/>
                <w:bCs w:val="1"/>
                <w:color w:val="A28040"/>
                <w:sz w:val="20"/>
                <w:szCs w:val="20"/>
                <w:rtl/>
              </w:rPr>
              <w:t xml:space="preserve">▪  </w:t>
            </w:r>
            <w:r>
              <w:rPr>
                <w:rFonts w:ascii="Arial" w:hAnsi="Arial" w:cs="Arial"/>
                <w:color w:val="262C34"/>
                <w:sz w:val="20"/>
                <w:szCs w:val="20"/>
                <w:rtl/>
              </w:rPr>
              <w:t>الترافع أمام المحكمة التجارية</w:t>
            </w:r>
          </w:p>
        </w:tc>
        <w:tc>
          <w:tcPr>
            <w:tcW w:type="dxa" w:w="4876"/>
            <w:tcMar>
              <w:top w:w="25" w:type="dxa"/>
              <w:left w:w="0" w:type="dxa"/>
              <w:bottom w:w="25" w:type="dxa"/>
              <w:right w:w="0" w:type="dxa"/>
            </w:tcMar>
          </w:tcPr>
          <w:p>
            <w:pPr>
              <w:bidi/>
              <w:spacing w:before="0" w:after="0" w:line="264" w:lineRule="auto"/>
              <w:jc w:val="right"/>
            </w:pPr>
            <w:r>
              <w:rPr>
                <w:rFonts w:ascii="Arial" w:hAnsi="Arial" w:cs="Arial"/>
                <w:b/>
                <w:bCs w:val="1"/>
                <w:color w:val="A28040"/>
                <w:sz w:val="20"/>
                <w:szCs w:val="20"/>
                <w:rtl/>
              </w:rPr>
              <w:t xml:space="preserve">▪  </w:t>
            </w:r>
            <w:r>
              <w:rPr>
                <w:rFonts w:ascii="Arial" w:hAnsi="Arial" w:cs="Arial"/>
                <w:color w:val="262C34"/>
                <w:sz w:val="20"/>
                <w:szCs w:val="20"/>
                <w:rtl/>
              </w:rPr>
              <w:t>التسجيل والشهر العقاري وصحة التوقيع والنفاذ</w:t>
            </w:r>
          </w:p>
        </w:tc>
      </w:tr>
    </w:tbl>
    <w:p>
      <w:pPr>
        <w:keepNext/>
        <w:pBdr>
          <w:bottom w:val="single" w:sz="8" w:space="4" w:color="A28040"/>
        </w:pBdr>
        <w:bidi/>
        <w:spacing w:before="260" w:after="80" w:line="240" w:lineRule="auto"/>
        <w:jc w:val="right"/>
      </w:pPr>
      <w:r>
        <w:rPr>
          <w:rFonts w:ascii="Arial" w:hAnsi="Arial" w:cs="Arial"/>
          <w:b/>
          <w:bCs w:val="1"/>
          <w:color w:val="A28040"/>
          <w:sz w:val="30"/>
          <w:szCs w:val="30"/>
          <w:rtl/>
        </w:rPr>
        <w:t>|</w:t>
      </w:r>
      <w:r>
        <w:rPr>
          <w:rFonts w:ascii="Arial" w:hAnsi="Arial" w:cs="Arial"/>
          <w:b/>
          <w:bCs w:val="1"/>
          <w:color w:val="102440"/>
          <w:sz w:val="26"/>
          <w:szCs w:val="26"/>
          <w:rtl/>
        </w:rPr>
        <w:t xml:space="preserve">  الخبرة العملية</w:t>
      </w:r>
    </w:p>
    <w:tbl>
      <w:tblPr>
        <w:bidiVisual/>
        <w:tblW w:type="dxa" w:w="9752"/>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firstColumn="1" w:firstRow="1" w:lastColumn="0" w:lastRow="0" w:noHBand="0" w:noVBand="1" w:val="04A0"/>
      </w:tblPr>
      <w:tblGrid>
        <w:gridCol w:w="6046"/>
        <w:gridCol w:w="3706"/>
      </w:tblGrid>
      <w:tr>
        <w:tc>
          <w:tcPr>
            <w:tcW w:type="dxa" w:w="6046"/>
            <w:tcMar>
              <w:top w:w="0" w:type="dxa"/>
              <w:left w:w="0" w:type="dxa"/>
              <w:bottom w:w="0" w:type="dxa"/>
              <w:right w:w="0" w:type="dxa"/>
            </w:tcMar>
          </w:tcPr>
          <w:p>
            <w:pPr>
              <w:bidi/>
              <w:spacing w:before="0" w:after="0" w:line="240" w:lineRule="auto"/>
              <w:jc w:val="right"/>
            </w:pPr>
            <w:r>
              <w:rPr>
                <w:rFonts w:ascii="Arial" w:hAnsi="Arial" w:cs="Arial"/>
                <w:b/>
                <w:bCs w:val="1"/>
                <w:color w:val="102440"/>
                <w:sz w:val="23"/>
                <w:szCs w:val="23"/>
                <w:rtl/>
              </w:rPr>
              <w:t>محامٍ ممارس</w:t>
            </w:r>
          </w:p>
        </w:tc>
        <w:tc>
          <w:tcPr>
            <w:tcW w:type="dxa" w:w="3705"/>
            <w:tcMar>
              <w:top w:w="0" w:type="dxa"/>
              <w:left w:w="0" w:type="dxa"/>
              <w:bottom w:w="0" w:type="dxa"/>
              <w:right w:w="0" w:type="dxa"/>
            </w:tcMar>
          </w:tcPr>
          <w:p>
            <w:pPr>
              <w:bidi/>
              <w:spacing w:before="0" w:after="0" w:line="240" w:lineRule="auto"/>
              <w:jc w:val="left"/>
            </w:pPr>
            <w:r>
              <w:rPr>
                <w:rFonts w:ascii="Arial" w:hAnsi="Arial" w:cs="Arial"/>
                <w:b/>
                <w:bCs w:val="1"/>
                <w:color w:val="A28040"/>
                <w:sz w:val="20"/>
                <w:szCs w:val="20"/>
                <w:rtl/>
              </w:rPr>
              <w:t>2015 – حتى الآن</w:t>
            </w:r>
          </w:p>
        </w:tc>
      </w:tr>
    </w:tbl>
    <w:p>
      <w:pPr>
        <w:bidi/>
        <w:spacing w:before="0" w:after="60" w:line="264" w:lineRule="auto"/>
        <w:ind w:right="340" w:hanging="340"/>
        <w:jc w:val="right"/>
      </w:pPr>
      <w:r>
        <w:rPr>
          <w:rFonts w:ascii="Arial" w:hAnsi="Arial" w:cs="Arial"/>
          <w:b/>
          <w:bCs w:val="1"/>
          <w:color w:val="A28040"/>
          <w:sz w:val="20"/>
          <w:szCs w:val="20"/>
          <w:rtl/>
        </w:rPr>
        <w:t xml:space="preserve">▪  </w:t>
      </w:r>
      <w:r>
        <w:rPr>
          <w:rFonts w:ascii="Arial" w:hAnsi="Arial" w:cs="Arial"/>
          <w:color w:val="262C34"/>
          <w:sz w:val="20"/>
          <w:szCs w:val="20"/>
          <w:rtl/>
        </w:rPr>
        <w:t>الترافع أمام المحاكم الجنائية والمدنية والتجارية والأحوال الشخصية.</w:t>
      </w:r>
    </w:p>
    <w:p>
      <w:pPr>
        <w:bidi/>
        <w:spacing w:before="0" w:after="60" w:line="264" w:lineRule="auto"/>
        <w:ind w:right="340" w:hanging="340"/>
        <w:jc w:val="right"/>
      </w:pPr>
      <w:r>
        <w:rPr>
          <w:rFonts w:ascii="Arial" w:hAnsi="Arial" w:cs="Arial"/>
          <w:b/>
          <w:bCs w:val="1"/>
          <w:color w:val="A28040"/>
          <w:sz w:val="20"/>
          <w:szCs w:val="20"/>
          <w:rtl/>
        </w:rPr>
        <w:t xml:space="preserve">▪  </w:t>
      </w:r>
      <w:r>
        <w:rPr>
          <w:rFonts w:ascii="Arial" w:hAnsi="Arial" w:cs="Arial"/>
          <w:color w:val="262C34"/>
          <w:sz w:val="20"/>
          <w:szCs w:val="20"/>
          <w:rtl/>
        </w:rPr>
        <w:t>تأسيس الشركات والمصانع واستكمال إجراءاتها القانونية والتجارية.</w:t>
      </w:r>
    </w:p>
    <w:p>
      <w:pPr>
        <w:bidi/>
        <w:spacing w:before="0" w:after="60" w:line="264" w:lineRule="auto"/>
        <w:ind w:right="340" w:hanging="340"/>
        <w:jc w:val="right"/>
      </w:pPr>
      <w:r>
        <w:rPr>
          <w:rFonts w:ascii="Arial" w:hAnsi="Arial" w:cs="Arial"/>
          <w:b/>
          <w:bCs w:val="1"/>
          <w:color w:val="A28040"/>
          <w:sz w:val="20"/>
          <w:szCs w:val="20"/>
          <w:rtl/>
        </w:rPr>
        <w:t xml:space="preserve">▪  </w:t>
      </w:r>
      <w:r>
        <w:rPr>
          <w:rFonts w:ascii="Arial" w:hAnsi="Arial" w:cs="Arial"/>
          <w:color w:val="262C34"/>
          <w:sz w:val="20"/>
          <w:szCs w:val="20"/>
          <w:rtl/>
        </w:rPr>
        <w:t>إجراءات التسجيل والشهر العقاري وصحة التوقيع والنفاذ على المحررات.</w:t>
      </w:r>
    </w:p>
    <w:p>
      <w:pPr>
        <w:bidi/>
        <w:spacing w:before="0" w:after="60" w:line="264" w:lineRule="auto"/>
        <w:ind w:right="340" w:hanging="340"/>
        <w:jc w:val="right"/>
      </w:pPr>
      <w:r>
        <w:rPr>
          <w:rFonts w:ascii="Arial" w:hAnsi="Arial" w:cs="Arial"/>
          <w:b/>
          <w:bCs w:val="1"/>
          <w:color w:val="A28040"/>
          <w:sz w:val="20"/>
          <w:szCs w:val="20"/>
          <w:rtl/>
        </w:rPr>
        <w:t xml:space="preserve">▪  </w:t>
      </w:r>
      <w:r>
        <w:rPr>
          <w:rFonts w:ascii="Arial" w:hAnsi="Arial" w:cs="Arial"/>
          <w:color w:val="262C34"/>
          <w:sz w:val="20"/>
          <w:szCs w:val="20"/>
          <w:rtl/>
        </w:rPr>
        <w:t>صياغة ومراجعة العقود بكافة أنواعها.</w:t>
      </w:r>
    </w:p>
    <w:p>
      <w:pPr>
        <w:bidi/>
        <w:spacing w:before="0" w:after="60" w:line="264" w:lineRule="auto"/>
        <w:ind w:right="340" w:hanging="340"/>
        <w:jc w:val="right"/>
      </w:pPr>
      <w:r>
        <w:rPr>
          <w:rFonts w:ascii="Arial" w:hAnsi="Arial" w:cs="Arial"/>
          <w:b/>
          <w:bCs w:val="1"/>
          <w:color w:val="A28040"/>
          <w:sz w:val="20"/>
          <w:szCs w:val="20"/>
          <w:rtl/>
        </w:rPr>
        <w:t xml:space="preserve">▪  </w:t>
      </w:r>
      <w:r>
        <w:rPr>
          <w:rFonts w:ascii="Arial" w:hAnsi="Arial" w:cs="Arial"/>
          <w:color w:val="262C34"/>
          <w:sz w:val="20"/>
          <w:szCs w:val="20"/>
          <w:rtl/>
        </w:rPr>
        <w:t>إعداد المذكرات القانونية والعرائض، ومتابعة ملفات القضايا حتى صدور الأحكام.</w:t>
      </w:r>
    </w:p>
    <w:p>
      <w:pPr>
        <w:keepNext/>
        <w:pBdr>
          <w:bottom w:val="single" w:sz="8" w:space="4" w:color="A28040"/>
        </w:pBdr>
        <w:bidi/>
        <w:spacing w:before="260" w:after="80" w:line="240" w:lineRule="auto"/>
        <w:jc w:val="right"/>
      </w:pPr>
      <w:r>
        <w:rPr>
          <w:rFonts w:ascii="Arial" w:hAnsi="Arial" w:cs="Arial"/>
          <w:b/>
          <w:bCs w:val="1"/>
          <w:color w:val="A28040"/>
          <w:sz w:val="30"/>
          <w:szCs w:val="30"/>
          <w:rtl/>
        </w:rPr>
        <w:t>|</w:t>
      </w:r>
      <w:r>
        <w:rPr>
          <w:rFonts w:ascii="Arial" w:hAnsi="Arial" w:cs="Arial"/>
          <w:b/>
          <w:bCs w:val="1"/>
          <w:color w:val="102440"/>
          <w:sz w:val="26"/>
          <w:szCs w:val="26"/>
          <w:rtl/>
        </w:rPr>
        <w:t xml:space="preserve">  المؤهل العلمي</w:t>
      </w:r>
    </w:p>
    <w:p>
      <w:pPr>
        <w:bidi/>
        <w:spacing w:before="0" w:after="0" w:line="264" w:lineRule="auto"/>
        <w:ind w:right="340" w:hanging="340"/>
        <w:jc w:val="right"/>
      </w:pPr>
      <w:r>
        <w:rPr>
          <w:rFonts w:ascii="Arial" w:hAnsi="Arial" w:cs="Arial"/>
          <w:b/>
          <w:bCs w:val="1"/>
          <w:color w:val="A28040"/>
          <w:sz w:val="20"/>
          <w:szCs w:val="20"/>
          <w:rtl/>
        </w:rPr>
        <w:t xml:space="preserve">▪  </w:t>
      </w:r>
      <w:r>
        <w:rPr>
          <w:rFonts w:ascii="Arial" w:hAnsi="Arial" w:cs="Arial"/>
          <w:color w:val="262C34"/>
          <w:sz w:val="20"/>
          <w:szCs w:val="20"/>
          <w:rtl/>
        </w:rPr>
        <w:t>ليسانس الحقوق</w:t>
      </w:r>
    </w:p>
    <w:p>
      <w:pPr>
        <w:keepNext/>
        <w:pBdr>
          <w:bottom w:val="single" w:sz="8" w:space="4" w:color="A28040"/>
        </w:pBdr>
        <w:bidi/>
        <w:spacing w:before="260" w:after="80" w:line="240" w:lineRule="auto"/>
        <w:jc w:val="right"/>
      </w:pPr>
      <w:r>
        <w:rPr>
          <w:rFonts w:ascii="Arial" w:hAnsi="Arial" w:cs="Arial"/>
          <w:b/>
          <w:bCs w:val="1"/>
          <w:color w:val="A28040"/>
          <w:sz w:val="30"/>
          <w:szCs w:val="30"/>
          <w:rtl/>
        </w:rPr>
        <w:t>|</w:t>
      </w:r>
      <w:r>
        <w:rPr>
          <w:rFonts w:ascii="Arial" w:hAnsi="Arial" w:cs="Arial"/>
          <w:b/>
          <w:bCs w:val="1"/>
          <w:color w:val="102440"/>
          <w:sz w:val="26"/>
          <w:szCs w:val="26"/>
          <w:rtl/>
        </w:rPr>
        <w:t xml:space="preserve">  المهارات القانونية</w:t>
      </w:r>
    </w:p>
    <w:tbl>
      <w:tblPr>
        <w:bidiVisual/>
        <w:tblW w:type="dxa" w:w="9356"/>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firstColumn="1" w:firstRow="1" w:lastColumn="0" w:lastRow="0" w:noHBand="0" w:noVBand="1" w:val="04A0"/>
      </w:tblPr>
      <w:tblGrid>
        <w:gridCol w:w="3118"/>
        <w:gridCol w:w="3118"/>
        <w:gridCol w:w="3118"/>
      </w:tblGrid>
      <w:tr>
        <w:tc>
          <w:tcPr>
            <w:tcW w:type="dxa" w:w="3118"/>
            <w:tcBorders>
              <w:top w:val="single" w:sz="4" w:space="0" w:color="DFE3E9"/>
              <w:left w:val="single" w:sz="4" w:space="0" w:color="DFE3E9"/>
              <w:bottom w:val="single" w:sz="4" w:space="0" w:color="DFE3E9"/>
              <w:right w:val="single" w:sz="4" w:space="0" w:color="DFE3E9"/>
            </w:tcBorders>
            <w:shd w:val="clear" w:color="auto" w:fill="F6F8FB"/>
            <w:tcMar>
              <w:top w:w="80" w:type="dxa"/>
              <w:left w:w="80" w:type="dxa"/>
              <w:bottom w:w="80" w:type="dxa"/>
              <w:right w:w="80" w:type="dxa"/>
            </w:tcMar>
            <w:vAlign w:val="center"/>
          </w:tcPr>
          <w:p>
            <w:pPr>
              <w:spacing w:before="0" w:after="0" w:line="240" w:lineRule="auto"/>
              <w:jc w:val="center"/>
            </w:pPr>
            <w:r>
              <w:rPr>
                <w:rFonts w:ascii="Arial" w:hAnsi="Arial" w:cs="Arial"/>
                <w:color w:val="1E3452"/>
                <w:sz w:val="18"/>
                <w:szCs w:val="18"/>
                <w:rtl/>
              </w:rPr>
              <w:t>صياغة العقود ومراجعتها</w:t>
            </w:r>
          </w:p>
        </w:tc>
        <w:tc>
          <w:tcPr>
            <w:tcW w:type="dxa" w:w="3118"/>
            <w:tcBorders>
              <w:top w:val="single" w:sz="4" w:space="0" w:color="DFE3E9"/>
              <w:left w:val="single" w:sz="4" w:space="0" w:color="DFE3E9"/>
              <w:bottom w:val="single" w:sz="4" w:space="0" w:color="DFE3E9"/>
              <w:right w:val="single" w:sz="4" w:space="0" w:color="DFE3E9"/>
            </w:tcBorders>
            <w:shd w:val="clear" w:color="auto" w:fill="F6F8FB"/>
            <w:tcMar>
              <w:top w:w="80" w:type="dxa"/>
              <w:left w:w="80" w:type="dxa"/>
              <w:bottom w:w="80" w:type="dxa"/>
              <w:right w:w="80" w:type="dxa"/>
            </w:tcMar>
            <w:vAlign w:val="center"/>
          </w:tcPr>
          <w:p>
            <w:pPr>
              <w:spacing w:before="0" w:after="0" w:line="240" w:lineRule="auto"/>
              <w:jc w:val="center"/>
            </w:pPr>
            <w:r>
              <w:rPr>
                <w:rFonts w:ascii="Arial" w:hAnsi="Arial" w:cs="Arial"/>
                <w:color w:val="1E3452"/>
                <w:sz w:val="18"/>
                <w:szCs w:val="18"/>
                <w:rtl/>
              </w:rPr>
              <w:t>إعداد المذكرات القانونية والعرائض</w:t>
            </w:r>
          </w:p>
        </w:tc>
        <w:tc>
          <w:tcPr>
            <w:tcW w:type="dxa" w:w="3118"/>
            <w:tcBorders>
              <w:top w:val="single" w:sz="4" w:space="0" w:color="DFE3E9"/>
              <w:left w:val="single" w:sz="4" w:space="0" w:color="DFE3E9"/>
              <w:bottom w:val="single" w:sz="4" w:space="0" w:color="DFE3E9"/>
              <w:right w:val="single" w:sz="4" w:space="0" w:color="DFE3E9"/>
            </w:tcBorders>
            <w:shd w:val="clear" w:color="auto" w:fill="F6F8FB"/>
            <w:tcMar>
              <w:top w:w="80" w:type="dxa"/>
              <w:left w:w="80" w:type="dxa"/>
              <w:bottom w:w="80" w:type="dxa"/>
              <w:right w:w="80" w:type="dxa"/>
            </w:tcMar>
            <w:vAlign w:val="center"/>
          </w:tcPr>
          <w:p>
            <w:pPr>
              <w:spacing w:before="0" w:after="0" w:line="240" w:lineRule="auto"/>
              <w:jc w:val="center"/>
            </w:pPr>
            <w:r>
              <w:rPr>
                <w:rFonts w:ascii="Arial" w:hAnsi="Arial" w:cs="Arial"/>
                <w:color w:val="1E3452"/>
                <w:sz w:val="18"/>
                <w:szCs w:val="18"/>
                <w:rtl/>
              </w:rPr>
              <w:t>الترافع والمرافعة أمام المحاكم</w:t>
            </w:r>
          </w:p>
        </w:tc>
      </w:tr>
      <w:tr>
        <w:tc>
          <w:tcPr>
            <w:tcW w:type="dxa" w:w="3118"/>
            <w:tcBorders>
              <w:top w:val="single" w:sz="4" w:space="0" w:color="DFE3E9"/>
              <w:left w:val="single" w:sz="4" w:space="0" w:color="DFE3E9"/>
              <w:bottom w:val="single" w:sz="4" w:space="0" w:color="DFE3E9"/>
              <w:right w:val="single" w:sz="4" w:space="0" w:color="DFE3E9"/>
            </w:tcBorders>
            <w:shd w:val="clear" w:color="auto" w:fill="F6F8FB"/>
            <w:tcMar>
              <w:top w:w="80" w:type="dxa"/>
              <w:left w:w="80" w:type="dxa"/>
              <w:bottom w:w="80" w:type="dxa"/>
              <w:right w:w="80" w:type="dxa"/>
            </w:tcMar>
            <w:vAlign w:val="center"/>
          </w:tcPr>
          <w:p>
            <w:pPr>
              <w:spacing w:before="0" w:after="0" w:line="240" w:lineRule="auto"/>
              <w:jc w:val="center"/>
            </w:pPr>
            <w:r>
              <w:rPr>
                <w:rFonts w:ascii="Arial" w:hAnsi="Arial" w:cs="Arial"/>
                <w:color w:val="1E3452"/>
                <w:sz w:val="18"/>
                <w:szCs w:val="18"/>
                <w:rtl/>
              </w:rPr>
              <w:t>تأسيس الشركات وإجراءاتها القانونية</w:t>
            </w:r>
          </w:p>
        </w:tc>
        <w:tc>
          <w:tcPr>
            <w:tcW w:type="dxa" w:w="3118"/>
            <w:tcBorders>
              <w:top w:val="single" w:sz="4" w:space="0" w:color="DFE3E9"/>
              <w:left w:val="single" w:sz="4" w:space="0" w:color="DFE3E9"/>
              <w:bottom w:val="single" w:sz="4" w:space="0" w:color="DFE3E9"/>
              <w:right w:val="single" w:sz="4" w:space="0" w:color="DFE3E9"/>
            </w:tcBorders>
            <w:shd w:val="clear" w:color="auto" w:fill="F6F8FB"/>
            <w:tcMar>
              <w:top w:w="80" w:type="dxa"/>
              <w:left w:w="80" w:type="dxa"/>
              <w:bottom w:w="80" w:type="dxa"/>
              <w:right w:w="80" w:type="dxa"/>
            </w:tcMar>
            <w:vAlign w:val="center"/>
          </w:tcPr>
          <w:p>
            <w:pPr>
              <w:spacing w:before="0" w:after="0" w:line="240" w:lineRule="auto"/>
              <w:jc w:val="center"/>
            </w:pPr>
            <w:r>
              <w:rPr>
                <w:rFonts w:ascii="Arial" w:hAnsi="Arial" w:cs="Arial"/>
                <w:color w:val="1E3452"/>
                <w:sz w:val="18"/>
                <w:szCs w:val="18"/>
                <w:rtl/>
              </w:rPr>
              <w:t>الشهر العقاري والتوكيلات</w:t>
            </w:r>
          </w:p>
        </w:tc>
        <w:tc>
          <w:tcPr>
            <w:tcW w:type="dxa" w:w="3118"/>
            <w:tcBorders>
              <w:top w:val="single" w:sz="4" w:space="0" w:color="DFE3E9"/>
              <w:left w:val="single" w:sz="4" w:space="0" w:color="DFE3E9"/>
              <w:bottom w:val="single" w:sz="4" w:space="0" w:color="DFE3E9"/>
              <w:right w:val="single" w:sz="4" w:space="0" w:color="DFE3E9"/>
            </w:tcBorders>
            <w:shd w:val="clear" w:color="auto" w:fill="F6F8FB"/>
            <w:tcMar>
              <w:top w:w="80" w:type="dxa"/>
              <w:left w:w="80" w:type="dxa"/>
              <w:bottom w:w="80" w:type="dxa"/>
              <w:right w:w="80" w:type="dxa"/>
            </w:tcMar>
            <w:vAlign w:val="center"/>
          </w:tcPr>
          <w:p>
            <w:pPr>
              <w:spacing w:before="0" w:after="0" w:line="240" w:lineRule="auto"/>
              <w:jc w:val="center"/>
            </w:pPr>
            <w:r>
              <w:rPr>
                <w:rFonts w:ascii="Arial" w:hAnsi="Arial" w:cs="Arial"/>
                <w:color w:val="1E3452"/>
                <w:sz w:val="18"/>
                <w:szCs w:val="18"/>
                <w:rtl/>
              </w:rPr>
              <w:t>إدارة الملفات ومتابعة القضايا</w:t>
            </w:r>
          </w:p>
        </w:tc>
      </w:tr>
    </w:tbl>
    <w:p>
      <w:pPr>
        <w:keepNext/>
        <w:pBdr>
          <w:bottom w:val="single" w:sz="8" w:space="4" w:color="A28040"/>
        </w:pBdr>
        <w:bidi/>
        <w:spacing w:before="260" w:after="80" w:line="240" w:lineRule="auto"/>
        <w:jc w:val="right"/>
      </w:pPr>
      <w:r>
        <w:rPr>
          <w:rFonts w:ascii="Arial" w:hAnsi="Arial" w:cs="Arial"/>
          <w:b/>
          <w:bCs w:val="1"/>
          <w:color w:val="A28040"/>
          <w:sz w:val="30"/>
          <w:szCs w:val="30"/>
          <w:rtl/>
        </w:rPr>
        <w:t>|</w:t>
      </w:r>
      <w:r>
        <w:rPr>
          <w:rFonts w:ascii="Arial" w:hAnsi="Arial" w:cs="Arial"/>
          <w:b/>
          <w:bCs w:val="1"/>
          <w:color w:val="102440"/>
          <w:sz w:val="26"/>
          <w:szCs w:val="26"/>
          <w:rtl/>
        </w:rPr>
        <w:t xml:space="preserve">  الدورات التدريبية</w:t>
      </w:r>
    </w:p>
    <w:p>
      <w:pPr>
        <w:bidi/>
        <w:spacing w:before="0" w:after="60" w:line="264" w:lineRule="auto"/>
        <w:ind w:right="340" w:hanging="340"/>
        <w:jc w:val="right"/>
      </w:pPr>
      <w:r>
        <w:rPr>
          <w:rFonts w:ascii="Arial" w:hAnsi="Arial" w:cs="Arial"/>
          <w:b/>
          <w:bCs w:val="1"/>
          <w:color w:val="A28040"/>
          <w:sz w:val="20"/>
          <w:szCs w:val="20"/>
          <w:rtl/>
        </w:rPr>
        <w:t xml:space="preserve">▪  </w:t>
      </w:r>
      <w:r>
        <w:rPr>
          <w:rFonts w:ascii="Arial" w:hAnsi="Arial" w:cs="Arial"/>
          <w:color w:val="262C34"/>
          <w:sz w:val="20"/>
          <w:szCs w:val="20"/>
          <w:rtl/>
        </w:rPr>
        <w:t>دورة من الشهر العقاري في التوكيلات.</w:t>
      </w:r>
    </w:p>
    <w:p>
      <w:pPr>
        <w:bidi/>
        <w:spacing w:before="0" w:after="60" w:line="264" w:lineRule="auto"/>
        <w:ind w:right="340" w:hanging="340"/>
        <w:jc w:val="right"/>
      </w:pPr>
      <w:r>
        <w:rPr>
          <w:rFonts w:ascii="Arial" w:hAnsi="Arial" w:cs="Arial"/>
          <w:b/>
          <w:bCs w:val="1"/>
          <w:color w:val="A28040"/>
          <w:sz w:val="20"/>
          <w:szCs w:val="20"/>
          <w:rtl/>
        </w:rPr>
        <w:t xml:space="preserve">▪  </w:t>
      </w:r>
      <w:r>
        <w:rPr>
          <w:rFonts w:ascii="Arial" w:hAnsi="Arial" w:cs="Arial"/>
          <w:color w:val="262C34"/>
          <w:sz w:val="20"/>
          <w:szCs w:val="20"/>
          <w:rtl/>
        </w:rPr>
        <w:t>دورة ICDL في مهارات الحاسب الآلي.</w:t>
      </w:r>
    </w:p>
    <w:p>
      <w:pPr>
        <w:bidi/>
        <w:spacing w:before="0" w:after="0" w:line="264" w:lineRule="auto"/>
        <w:ind w:right="340" w:hanging="340"/>
        <w:jc w:val="right"/>
      </w:pPr>
      <w:r>
        <w:rPr>
          <w:rFonts w:ascii="Arial" w:hAnsi="Arial" w:cs="Arial"/>
          <w:b/>
          <w:bCs w:val="1"/>
          <w:color w:val="A28040"/>
          <w:sz w:val="20"/>
          <w:szCs w:val="20"/>
          <w:rtl/>
        </w:rPr>
        <w:t xml:space="preserve">▪  </w:t>
      </w:r>
      <w:r>
        <w:rPr>
          <w:rFonts w:ascii="Arial" w:hAnsi="Arial" w:cs="Arial"/>
          <w:color w:val="262C34"/>
          <w:sz w:val="20"/>
          <w:szCs w:val="20"/>
          <w:rtl/>
        </w:rPr>
        <w:t>دورة تنمية بشرية.</w:t>
      </w:r>
    </w:p>
    <w:sectPr w:rsidR="00FC693F" w:rsidRPr="0006063C" w:rsidSect="00034616">
      <w:footerReference w:type="default" r:id="rId10"/>
      <w:pgSz w:w="11906" w:h="16838"/>
      <w:pgMar w:top="454" w:right="1077" w:bottom="850" w:left="1077" w:header="283"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6" w:color="D6D8DC"/>
      </w:pBdr>
      <w:bidi/>
      <w:spacing w:before="0" w:after="0" w:line="240" w:lineRule="auto"/>
      <w:jc w:val="center"/>
    </w:pPr>
    <w:r>
      <w:rPr>
        <w:rFonts w:ascii="Arial" w:hAnsi="Arial" w:cs="Arial"/>
        <w:color w:val="6E7682"/>
        <w:sz w:val="16"/>
        <w:szCs w:val="16"/>
        <w:rtl/>
      </w:rPr>
      <w:t>هاتف  01222500093   ·   أحمد عبد النبي عبد العظيم</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pPr>
    <w:rPr>
      <w:rFonts w:ascii="Arial" w:hAnsi="Arial" w:cs="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أحمد عبد النبي عبد العظيم — CV</dc:title>
  <dc:subject>Curriculum Vitae</dc:subject>
  <dc:creator>أحمد عبد النبي عبد العظيم</dc:creator>
  <cp:keywords/>
  <dc:description>generated by python-docx</dc:description>
  <cp:lastModifiedBy/>
  <cp:revision>1</cp:revision>
  <dcterms:created xsi:type="dcterms:W3CDTF">2013-12-23T23:15:00Z</dcterms:created>
  <dcterms:modified xsi:type="dcterms:W3CDTF">2013-12-23T23:15:00Z</dcterms:modified>
  <cp:category/>
</cp:coreProperties>
</file>