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Word2JATS：学术期刊 Word 智能结构化转换功能验收稿</w:t>
      </w:r>
    </w:p>
    <w:p>
      <w:r>
        <w:t>张三，李四，王五</w:t>
      </w:r>
    </w:p>
    <w:p>
      <w:r>
        <w:t>未来出版大学 数字出版学院，智能内容处理实验室</w:t>
      </w:r>
    </w:p>
    <w:p>
      <w:r>
        <w:t>摘要：本文构造一份覆盖 Word2JATS 当前能力的学术期刊测试稿件，用于验证从 Word 文档到结构化 JSON 和 JATS XML 的完整转换流程。</w:t>
      </w:r>
    </w:p>
    <w:p>
      <w:r>
        <w:t>测试内容包括元数据、多级章节、列表、公式、图片、不同格式图题、参考文献、基础校验及人工校正后重新生成 XML。</w:t>
      </w:r>
    </w:p>
    <w:p>
      <w:r>
        <w:t>关键词：JATS；Word；结构化出版；XML；人工校正</w:t>
      </w:r>
    </w:p>
    <w:p>
      <w:r>
        <w:t>1 引言</w:t>
      </w:r>
    </w:p>
    <w:p>
      <w:r>
        <w:t>学术期刊需要将作者提交的 Word 稿件转换为机器可读、可交换和可长期保存的结构化内容。</w:t>
      </w:r>
    </w:p>
    <w:p>
      <w:r>
        <w:t>1.1 研究背景</w:t>
      </w:r>
    </w:p>
    <w:p>
      <w:r>
        <w:t>传统人工标引流程成本较高，规则驱动方法可以提供透明、可复核的自动化转换起点。</w:t>
      </w:r>
    </w:p>
    <w:p>
      <w:r>
        <w:t>二、系统方法</w:t>
      </w:r>
    </w:p>
    <w:p>
      <w:r>
        <w:t>系统采用无状态转换流水线，并依次执行以下步骤：</w:t>
      </w:r>
    </w:p>
    <w:p>
      <w:r>
        <w:t>（1）解析 Word 段落、样式与文档媒体</w:t>
      </w:r>
    </w:p>
    <w:p>
      <w:r>
        <w:t>（2）构建统一的 article JSON</w:t>
      </w:r>
    </w:p>
    <w:p>
      <w:r>
        <w:t>（3）生成并校验 JATS XML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 Word2JATS 系统总体架构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2 实验流程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图1-1 核心模块关系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46320" cy="17707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177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4 Overview</w:t>
      </w:r>
    </w:p>
    <w:p>
      <w:r>
        <w:t>Figure 5 Caption-only architecture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指标</w:t>
            </w:r>
          </w:p>
        </w:tc>
        <w:tc>
          <w:tcPr>
            <w:tcW w:type="dxa" w:w="3120"/>
          </w:tcPr>
          <w:p>
            <w:r>
              <w:t>方法A</w:t>
            </w:r>
          </w:p>
        </w:tc>
        <w:tc>
          <w:tcPr>
            <w:tcW w:type="dxa" w:w="3120"/>
          </w:tcPr>
          <w:p>
            <w:r>
              <w:t>方法B</w:t>
            </w:r>
          </w:p>
        </w:tc>
      </w:tr>
      <w:tr>
        <w:tc>
          <w:tcPr>
            <w:tcW w:type="dxa" w:w="3120"/>
          </w:tcPr>
          <w:p>
            <w:r>
              <w:t>准确率</w:t>
            </w:r>
          </w:p>
        </w:tc>
        <w:tc>
          <w:tcPr>
            <w:tcW w:type="dxa" w:w="3120"/>
          </w:tcPr>
          <w:p>
            <w:r>
              <w:t>90%</w:t>
            </w:r>
          </w:p>
        </w:tc>
        <w:tc>
          <w:tcPr>
            <w:tcW w:type="dxa" w:w="3120"/>
          </w:tcPr>
          <w:p>
            <w:r>
              <w:t>95%</w:t>
            </w:r>
          </w:p>
        </w:tc>
      </w:tr>
      <w:tr>
        <w:tc>
          <w:tcPr>
            <w:tcW w:type="dxa" w:w="3120"/>
          </w:tcPr>
          <w:p>
            <w:r>
              <w:t>召回率</w:t>
            </w:r>
          </w:p>
        </w:tc>
        <w:tc>
          <w:tcPr>
            <w:tcW w:type="dxa" w:w="3120"/>
          </w:tcPr>
          <w:p>
            <w:r>
              <w:t>87%</w:t>
            </w:r>
          </w:p>
        </w:tc>
        <w:tc>
          <w:tcPr>
            <w:tcW w:type="dxa" w:w="3120"/>
          </w:tcPr>
          <w:p>
            <w:r>
              <w:t>93%</w:t>
            </w:r>
          </w:p>
        </w:tc>
      </w:tr>
    </w:tbl>
    <w:p>
      <w:r>
        <w:t>表1 实验结果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Value</w:t>
            </w:r>
          </w:p>
        </w:tc>
      </w:tr>
      <w:tr>
        <w:tc>
          <w:tcPr>
            <w:tcW w:type="dxa" w:w="4680"/>
          </w:tcPr>
          <w:p>
            <w:r>
              <w:t>F1</w:t>
            </w:r>
          </w:p>
        </w:tc>
        <w:tc>
          <w:tcPr>
            <w:tcW w:type="dxa" w:w="4680"/>
          </w:tcPr>
          <w:p>
            <w:r>
              <w:t>94%</w:t>
            </w:r>
          </w:p>
        </w:tc>
      </w:tr>
    </w:tbl>
    <w:p>
      <w:r>
        <w:t>Table 2 Evaluation summary</w:t>
      </w:r>
    </w:p>
    <w:p>
      <w:r>
        <w:t>（一）公式识别</w:t>
      </w:r>
    </w:p>
    <w:p>
      <w:r>
        <w:t>F = α × precision + β × recall</w:t>
      </w:r>
    </w:p>
    <w:p>
      <w:r>
        <w:t>x ≈ μ + σ</w:t>
      </w:r>
    </w:p>
    <w:p>
      <w:r>
        <w:t>∑ x_i ≤ λ</w:t>
      </w:r>
    </w:p>
    <w:p>
      <w:r>
        <w:t>∫ f(x) dx ≥ 0</w:t>
      </w:r>
    </w:p>
    <w:p>
      <w:r>
        <w:t>\frac{a}{b} = \sqrt{c}</w:t>
      </w:r>
    </w:p>
    <w:p>
      <w:r>
        <w:t>lim x→0 sin(x) / x = 1</w:t>
      </w:r>
    </w:p>
    <w:p>
      <w:r>
        <w:t>log(a) + cos(β) = γ</w:t>
      </w:r>
    </w:p>
    <w:p>
      <w:r>
        <w:t>其中各参数用于测试基础规则公式识别。</w:t>
      </w:r>
    </w:p>
    <w:p>
      <w:r>
        <w:t>3 结果与讨论</w:t>
      </w:r>
    </w:p>
    <w:p>
      <w:r>
        <w:t>转换完成后，用户可以查看 JSON 和 XML，在人工校正页面修改结构数据，并根据修改后的 article JSON 重新生成 XML。</w:t>
      </w:r>
    </w:p>
    <w:p>
      <w:r>
        <w:t>3.1 校验结果</w:t>
      </w:r>
    </w:p>
    <w:p>
      <w:r>
        <w:t>系统检查标题、摘要、关键词、章节、XML 合法性和 JATS 核心节点，并提示 ORCID、单位、图题、公式、空章节及参考文献等出版质量问题。</w:t>
      </w:r>
    </w:p>
    <w:p>
      <w:r>
        <w:t>4 结论</w:t>
      </w:r>
    </w:p>
    <w:p>
      <w:r>
        <w:t>该验收稿件能够覆盖 Word2JATS 当前已实现的主要转换、校正和校验功能。</w:t>
      </w:r>
    </w:p>
    <w:p>
      <w:r>
        <w:t>参考文献</w:t>
      </w:r>
    </w:p>
    <w:p>
      <w:r>
        <w:t>[1] 张三, 李四. 学术出版结构化技术研究[J]. 数字出版, 2025, 10(2): 1-8.</w:t>
      </w:r>
    </w:p>
    <w:p>
      <w:r>
        <w:t>2. National Information Standards Organization. JATS: Journal Article Tag Suite[S].</w:t>
      </w:r>
    </w:p>
    <w:p>
      <w:r>
        <w:t>（3）王五. Word 文档智能解析方法研究[J]. 出版科学, 2026, 34(1): 20-28.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