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after="200"/>
        <w:jc w:val="center"/>
      </w:pPr>
      <w:r>
        <w:rPr>
          <w:rFonts w:ascii="Arial" w:cs="Arial" w:eastAsia="Arial" w:hAnsi="Arial"/>
          <w:sz w:val="80"/>
          <w:szCs w:val="80"/>
        </w:rPr>
        <w:t xml:space="preserve">🌿</w:t>
      </w:r>
    </w:p>
    <w:p>
      <w:pPr>
        <w:spacing w:before="0" w:after="160"/>
        <w:jc w:val="center"/>
      </w:pPr>
      <w:r>
        <w:rPr>
          <w:rFonts w:ascii="Arial" w:cs="Arial" w:eastAsia="Arial" w:hAnsi="Arial"/>
          <w:b/>
          <w:bCs/>
          <w:color w:val="2E7D32"/>
          <w:sz w:val="64"/>
          <w:szCs w:val="64"/>
        </w:rPr>
        <w:t xml:space="preserve">未来城市构想</w:t>
      </w:r>
    </w:p>
    <w:p>
      <w:pPr>
        <w:spacing w:before="0" w:after="120"/>
        <w:jc w:val="center"/>
      </w:pPr>
      <w:r>
        <w:rPr>
          <w:rFonts w:ascii="Arial" w:cs="Arial" w:eastAsia="Arial" w:hAnsi="Arial"/>
          <w:b w:val="false"/>
          <w:bCs w:val="false"/>
          <w:i/>
          <w:iCs/>
          <w:color w:val="4CAF50"/>
          <w:sz w:val="40"/>
          <w:szCs w:val="40"/>
        </w:rPr>
        <w:t xml:space="preserve">Vision of the Future City</w:t>
      </w:r>
    </w:p>
    <w:p>
      <w:pPr>
        <w:spacing w:before="120" w:after="600"/>
        <w:jc w:val="center"/>
      </w:pPr>
      <w:r>
        <w:rPr>
          <w:rFonts w:ascii="Arial" w:cs="Arial" w:eastAsia="Arial" w:hAnsi="Arial"/>
          <w:i/>
          <w:iCs/>
          <w:color w:val="666666"/>
          <w:sz w:val="22"/>
          <w:szCs w:val="22"/>
        </w:rPr>
        <w:t xml:space="preserve">A Three-Layer Urban System Where Nature, Humans, and Machines Coexist</w:t>
      </w:r>
    </w:p>
    <w:p>
      <w:pPr>
        <w:pBdr>
          <w:bottom w:val="single" w:color="C8E6C9" w:sz="4" w:space="1"/>
        </w:pBdr>
        <w:spacing w:before="200" w:after="200"/>
      </w:pPr>
      <w:r>
        <w:t xml:space="preserve"/>
      </w:r>
    </w:p>
    <w:p>
      <w:pPr>
        <w:spacing w:before="80" w:after="80"/>
      </w:pPr>
      <w:r>
        <w:t xml:space="preserve"/>
      </w:r>
    </w:p>
    <w:p>
      <w:pPr>
        <w:pStyle w:val="Heading1"/>
        <w:pBdr>
          <w:bottom w:val="single" w:color="2E7D32" w:sz="6" w:space="4"/>
        </w:pBdr>
        <w:spacing w:before="400" w:after="200"/>
      </w:pPr>
      <w:r>
        <w:rPr>
          <w:rFonts w:ascii="Arial" w:cs="Arial" w:eastAsia="Arial" w:hAnsi="Arial"/>
          <w:b/>
          <w:bCs/>
          <w:color w:val="2E7D32"/>
          <w:sz w:val="36"/>
          <w:szCs w:val="36"/>
        </w:rPr>
        <w:t xml:space="preserve">一、核心理念  Core Philosophy</w:t>
      </w:r>
    </w:p>
    <w:p>
      <w:pPr>
        <w:spacing w:before="80" w:after="80"/>
      </w:pPr>
      <w:r>
        <w:t xml:space="preserve"/>
      </w:r>
    </w:p>
    <w:p>
      <w:pPr>
        <w:spacing w:before="100" w:after="100"/>
      </w:pPr>
      <w:r>
        <w:rPr>
          <w:rFonts w:ascii="Arial" w:cs="Arial" w:eastAsia="Arial" w:hAnsi="Arial"/>
          <w:color w:val="1A1A1A"/>
          <w:sz w:val="22"/>
          <w:szCs w:val="22"/>
        </w:rPr>
        <w:t xml:space="preserve">这座未来城市建立在一个根本性的翻转之上：</w:t>
      </w:r>
    </w:p>
    <w:p>
      <w:pPr>
        <w:spacing w:before="80" w:after="80"/>
      </w:pPr>
      <w:r>
        <w:t xml:space="preserve"/>
      </w:r>
    </w:p>
    <w:p>
      <w:pPr>
        <w:pBdr>
          <w:left w:val="single" w:color="2E7D32" w:sz="16" w:space="8"/>
        </w:pBdr>
        <w:shd w:fill="E8F5E9" w:val="clear"/>
        <w:spacing w:before="120" w:after="120"/>
      </w:pPr>
      <w:r>
        <w:rPr>
          <w:rFonts w:ascii="Arial" w:cs="Arial" w:eastAsia="Arial" w:hAnsi="Arial"/>
          <w:b/>
          <w:bCs/>
          <w:color w:val="2E7D32"/>
          <w:sz w:val="26"/>
          <w:szCs w:val="26"/>
        </w:rPr>
        <w:t xml:space="preserve">  把道路还给机器，把地面还给自然，把天空还给生命。</w:t>
      </w:r>
    </w:p>
    <w:p>
      <w:pPr>
        <w:pBdr>
          <w:left w:val="single" w:color="2E7D32" w:sz="16" w:space="8"/>
        </w:pBdr>
        <w:shd w:fill="E8F5E9" w:val="clear"/>
        <w:spacing w:before="80" w:after="120"/>
      </w:pPr>
      <w:r>
        <w:rPr>
          <w:rFonts w:ascii="Arial" w:cs="Arial" w:eastAsia="Arial" w:hAnsi="Arial"/>
          <w:i/>
          <w:iCs/>
          <w:color w:val="555555"/>
          <w:sz w:val="22"/>
          <w:szCs w:val="22"/>
        </w:rPr>
        <w:t xml:space="preserve">  Give roads to machines, give the ground back to nature, give the sky back to life.</w:t>
      </w:r>
    </w:p>
    <w:p>
      <w:pPr>
        <w:spacing w:before="80" w:after="80"/>
      </w:pPr>
      <w:r>
        <w:t xml:space="preserve"/>
      </w:r>
    </w:p>
    <w:p>
      <w:pPr>
        <w:spacing w:before="100" w:after="100"/>
      </w:pPr>
      <w:r>
        <w:rPr>
          <w:rFonts w:ascii="Arial" w:cs="Arial" w:eastAsia="Arial" w:hAnsi="Arial"/>
          <w:color w:val="1A1A1A"/>
          <w:sz w:val="22"/>
          <w:szCs w:val="22"/>
        </w:rPr>
        <w:t xml:space="preserve">当前城市的核心矛盾，在于道路切割了一切——城市被分裂成无数碎片，动物无处栖身，人与自然被隔绝，建筑设计被道路死死束缚。这座未来城市通过一个根本性的空间重组来解决这个问题：将所有交通基础设施移入地下，将城市地面完整地还给人类、动物与自然，同时在空中发展低空经济，形成一个真正的三维立体城市生态系统。</w:t>
      </w:r>
    </w:p>
    <w:p>
      <w:pPr>
        <w:spacing w:before="80" w:after="80"/>
      </w:pPr>
      <w:r>
        <w:t xml:space="preserve"/>
      </w:r>
    </w:p>
    <w:p>
      <w:pPr>
        <w:spacing w:before="100" w:after="100"/>
      </w:pPr>
      <w:r>
        <w:rPr>
          <w:rFonts w:ascii="Arial" w:cs="Arial" w:eastAsia="Arial" w:hAnsi="Arial"/>
          <w:i/>
          <w:iCs/>
          <w:color w:val="555555"/>
          <w:sz w:val="22"/>
          <w:szCs w:val="22"/>
        </w:rPr>
        <w:t xml:space="preserve">The fundamental contradiction of today's cities is that roads divide everything — fragmenting urban space, displacing wildlife, isolating people from nature, and constraining architecture. This future city resolves this through a radical spatial reorganization: relocating all transport infrastructure underground, returning the entire ground surface to people, animals, and nature, while activating low-altitude airspace for a new aerial economy — creating a genuine three-dimensional urban ecosystem.</w:t>
      </w:r>
    </w:p>
    <w:p>
      <w:pPr>
        <w:spacing w:before="80" w:after="80"/>
      </w:pPr>
      <w:r>
        <w:t xml:space="preserve"/>
      </w:r>
    </w:p>
    <w:p>
      <w:pPr>
        <w:pBdr>
          <w:bottom w:val="single" w:color="C8E6C9" w:sz="4" w:space="1"/>
        </w:pBdr>
        <w:spacing w:before="200" w:after="200"/>
      </w:pPr>
      <w:r>
        <w:t xml:space="preserve"/>
      </w:r>
    </w:p>
    <w:p>
      <w:pPr>
        <w:pStyle w:val="Heading1"/>
        <w:pBdr>
          <w:bottom w:val="single" w:color="2E7D32" w:sz="6" w:space="4"/>
        </w:pBdr>
        <w:spacing w:before="400" w:after="200"/>
      </w:pPr>
      <w:r>
        <w:rPr>
          <w:rFonts w:ascii="Arial" w:cs="Arial" w:eastAsia="Arial" w:hAnsi="Arial"/>
          <w:b/>
          <w:bCs/>
          <w:color w:val="2E7D32"/>
          <w:sz w:val="36"/>
          <w:szCs w:val="36"/>
        </w:rPr>
        <w:t xml:space="preserve">二、三层立体交通体系  Three-Layer Urban System</w:t>
      </w:r>
    </w:p>
    <w:p>
      <w:pPr>
        <w:spacing w:before="80" w:after="80"/>
      </w:pPr>
      <w:r>
        <w:t xml:space="preserve"/>
      </w:r>
    </w:p>
    <w:p>
      <w:pPr>
        <w:spacing w:before="100" w:after="100"/>
      </w:pPr>
      <w:r>
        <w:rPr>
          <w:rFonts w:ascii="Arial" w:cs="Arial" w:eastAsia="Arial" w:hAnsi="Arial"/>
          <w:color w:val="1A1A1A"/>
          <w:sz w:val="22"/>
          <w:szCs w:val="22"/>
        </w:rPr>
        <w:t xml:space="preserve">整座城市在垂直维度上分为三个完全独立又相互连通的层次：</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CCCCCC" w:sz="1"/>
              <w:left w:val="single" w:color="CCCCCC" w:sz="1"/>
              <w:bottom w:val="single" w:color="CCCCCC" w:sz="1"/>
              <w:right w:val="single" w:color="CCCCCC" w:sz="1"/>
            </w:tcBorders>
            <w:shd w:fill="BBDEFB" w:val="clear"/>
            <w:tcMar>
              <w:top w:type="dxa" w:w="120"/>
              <w:left w:type="dxa" w:w="160"/>
              <w:bottom w:type="dxa" w:w="120"/>
              <w:right w:type="dxa" w:w="160"/>
            </w:tcMar>
          </w:tcPr>
          <w:p>
            <w:r>
              <w:rPr>
                <w:rFonts w:ascii="Arial" w:cs="Arial" w:eastAsia="Arial" w:hAnsi="Arial"/>
                <w:b/>
                <w:bCs/>
                <w:color w:val="1A1A1A"/>
                <w:sz w:val="20"/>
                <w:szCs w:val="20"/>
              </w:rPr>
              <w:t xml:space="preserve">🚁  空中层 Sky Layer</w:t>
            </w:r>
          </w:p>
        </w:tc>
        <w:tc>
          <w:tcPr>
            <w:tcW w:type="dxa" w:w="3480"/>
            <w:tcBorders>
              <w:top w:val="single" w:color="CCCCCC" w:sz="1"/>
              <w:left w:val="single" w:color="CCCCCC" w:sz="1"/>
              <w:bottom w:val="single" w:color="CCCCCC" w:sz="1"/>
              <w:right w:val="single" w:color="CCCCCC" w:sz="1"/>
            </w:tcBorders>
            <w:shd w:fill="E3F2FD" w:val="clear"/>
            <w:tcMar>
              <w:top w:type="dxa" w:w="120"/>
              <w:left w:type="dxa" w:w="160"/>
              <w:bottom w:type="dxa" w:w="120"/>
              <w:right w:type="dxa" w:w="160"/>
            </w:tcMar>
          </w:tcPr>
          <w:p>
            <w:r>
              <w:rPr>
                <w:rFonts w:ascii="Arial" w:cs="Arial" w:eastAsia="Arial" w:hAnsi="Arial"/>
                <w:color w:val="1A1A1A"/>
                <w:sz w:val="20"/>
                <w:szCs w:val="20"/>
              </w:rPr>
              <w:t xml:space="preserve">低空无人机 + eVTOL空中出租车</w:t>
            </w:r>
          </w:p>
          <w:p>
            <w:r>
              <w:rPr>
                <w:rFonts w:ascii="Arial" w:cs="Arial" w:eastAsia="Arial" w:hAnsi="Arial"/>
                <w:color w:val="1A1A1A"/>
                <w:sz w:val="20"/>
                <w:szCs w:val="20"/>
              </w:rPr>
              <w:t xml:space="preserve">城市空中交通（UAM）网络</w:t>
            </w:r>
          </w:p>
        </w:tc>
        <w:tc>
          <w:tcPr>
            <w:tcW w:type="dxa" w:w="3480"/>
            <w:tcBorders>
              <w:top w:val="single" w:color="CCCCCC" w:sz="1"/>
              <w:left w:val="single" w:color="CCCCCC" w:sz="1"/>
              <w:bottom w:val="single" w:color="CCCCCC" w:sz="1"/>
              <w:right w:val="single" w:color="CCCCCC" w:sz="1"/>
            </w:tcBorders>
            <w:shd w:fill="E3F2FD" w:val="clear"/>
            <w:tcMar>
              <w:top w:type="dxa" w:w="120"/>
              <w:left w:type="dxa" w:w="160"/>
              <w:bottom w:type="dxa" w:w="120"/>
              <w:right w:type="dxa" w:w="160"/>
            </w:tcMar>
          </w:tcPr>
          <w:p>
            <w:r>
              <w:rPr>
                <w:rFonts w:ascii="Arial" w:cs="Arial" w:eastAsia="Arial" w:hAnsi="Arial"/>
                <w:i/>
                <w:iCs/>
                <w:color w:val="1A1A1A"/>
                <w:sz w:val="20"/>
                <w:szCs w:val="20"/>
              </w:rPr>
              <w:t xml:space="preserve">Low-altitude UAV network &amp; eVTOL air taxis</w:t>
            </w:r>
          </w:p>
          <w:p>
            <w:r>
              <w:rPr>
                <w:rFonts w:ascii="Arial" w:cs="Arial" w:eastAsia="Arial" w:hAnsi="Arial"/>
                <w:i/>
                <w:iCs/>
                <w:color w:val="1A1A1A"/>
                <w:sz w:val="20"/>
                <w:szCs w:val="20"/>
              </w:rPr>
              <w:t xml:space="preserve">Urban Air Mobility (UAM) system</w:t>
            </w:r>
          </w:p>
        </w:tc>
      </w:tr>
      <w:tr>
        <w:tc>
          <w:tcPr>
            <w:tcW w:type="dxa" w:w="2400"/>
            <w:tcBorders>
              <w:top w:val="single" w:color="CCCCCC" w:sz="1"/>
              <w:left w:val="single" w:color="CCCCCC" w:sz="1"/>
              <w:bottom w:val="single" w:color="CCCCCC" w:sz="1"/>
              <w:right w:val="single" w:color="CCCCCC" w:sz="1"/>
            </w:tcBorders>
            <w:shd w:fill="C8E6C9" w:val="clear"/>
            <w:tcMar>
              <w:top w:type="dxa" w:w="120"/>
              <w:left w:type="dxa" w:w="160"/>
              <w:bottom w:type="dxa" w:w="120"/>
              <w:right w:type="dxa" w:w="160"/>
            </w:tcMar>
          </w:tcPr>
          <w:p>
            <w:r>
              <w:rPr>
                <w:rFonts w:ascii="Arial" w:cs="Arial" w:eastAsia="Arial" w:hAnsi="Arial"/>
                <w:b/>
                <w:bCs/>
                <w:color w:val="1A1A1A"/>
                <w:sz w:val="20"/>
                <w:szCs w:val="20"/>
              </w:rPr>
              <w:t xml:space="preserve">🌳  地面层 Ground Layer</w:t>
            </w:r>
          </w:p>
        </w:tc>
        <w:tc>
          <w:tcPr>
            <w:tcW w:type="dxa" w:w="3480"/>
            <w:tcBorders>
              <w:top w:val="single" w:color="CCCCCC" w:sz="1"/>
              <w:left w:val="single" w:color="CCCCCC" w:sz="1"/>
              <w:bottom w:val="single" w:color="CCCCCC" w:sz="1"/>
              <w:right w:val="single" w:color="CCCCCC" w:sz="1"/>
            </w:tcBorders>
            <w:shd w:fill="E8F5E9" w:val="clear"/>
            <w:tcMar>
              <w:top w:type="dxa" w:w="120"/>
              <w:left w:type="dxa" w:w="160"/>
              <w:bottom w:type="dxa" w:w="120"/>
              <w:right w:type="dxa" w:w="160"/>
            </w:tcMar>
          </w:tcPr>
          <w:p>
            <w:r>
              <w:rPr>
                <w:rFonts w:ascii="Arial" w:cs="Arial" w:eastAsia="Arial" w:hAnsi="Arial"/>
                <w:color w:val="1A1A1A"/>
                <w:sz w:val="20"/>
                <w:szCs w:val="20"/>
              </w:rPr>
              <w:t xml:space="preserve">无车地面 · 公园 · 动物栖息地</w:t>
            </w:r>
          </w:p>
          <w:p>
            <w:r>
              <w:rPr>
                <w:rFonts w:ascii="Arial" w:cs="Arial" w:eastAsia="Arial" w:hAnsi="Arial"/>
                <w:color w:val="1A1A1A"/>
                <w:sz w:val="20"/>
                <w:szCs w:val="20"/>
              </w:rPr>
              <w:t xml:space="preserve">连通建筑群 · 慢行共享区</w:t>
            </w:r>
          </w:p>
        </w:tc>
        <w:tc>
          <w:tcPr>
            <w:tcW w:type="dxa" w:w="3480"/>
            <w:tcBorders>
              <w:top w:val="single" w:color="CCCCCC" w:sz="1"/>
              <w:left w:val="single" w:color="CCCCCC" w:sz="1"/>
              <w:bottom w:val="single" w:color="CCCCCC" w:sz="1"/>
              <w:right w:val="single" w:color="CCCCCC" w:sz="1"/>
            </w:tcBorders>
            <w:shd w:fill="E8F5E9" w:val="clear"/>
            <w:tcMar>
              <w:top w:type="dxa" w:w="120"/>
              <w:left w:type="dxa" w:w="160"/>
              <w:bottom w:type="dxa" w:w="120"/>
              <w:right w:type="dxa" w:w="160"/>
            </w:tcMar>
          </w:tcPr>
          <w:p>
            <w:r>
              <w:rPr>
                <w:rFonts w:ascii="Arial" w:cs="Arial" w:eastAsia="Arial" w:hAnsi="Arial"/>
                <w:i/>
                <w:iCs/>
                <w:color w:val="1A1A1A"/>
                <w:sz w:val="20"/>
                <w:szCs w:val="20"/>
              </w:rPr>
              <w:t xml:space="preserve">Car-free surface · Parks · Wildlife habitat</w:t>
            </w:r>
          </w:p>
          <w:p>
            <w:r>
              <w:rPr>
                <w:rFonts w:ascii="Arial" w:cs="Arial" w:eastAsia="Arial" w:hAnsi="Arial"/>
                <w:i/>
                <w:iCs/>
                <w:color w:val="1A1A1A"/>
                <w:sz w:val="20"/>
                <w:szCs w:val="20"/>
              </w:rPr>
              <w:t xml:space="preserve">Linked buildings · Slow mobility zones</w:t>
            </w:r>
          </w:p>
        </w:tc>
      </w:tr>
      <w:tr>
        <w:tc>
          <w:tcPr>
            <w:tcW w:type="dxa" w:w="2400"/>
            <w:tcBorders>
              <w:top w:val="single" w:color="CCCCCC" w:sz="1"/>
              <w:left w:val="single" w:color="CCCCCC" w:sz="1"/>
              <w:bottom w:val="single" w:color="CCCCCC" w:sz="1"/>
              <w:right w:val="single" w:color="CCCCCC" w:sz="1"/>
            </w:tcBorders>
            <w:shd w:fill="FFE0B2" w:val="clear"/>
            <w:tcMar>
              <w:top w:type="dxa" w:w="120"/>
              <w:left w:type="dxa" w:w="160"/>
              <w:bottom w:type="dxa" w:w="120"/>
              <w:right w:type="dxa" w:w="160"/>
            </w:tcMar>
          </w:tcPr>
          <w:p>
            <w:r>
              <w:rPr>
                <w:rFonts w:ascii="Arial" w:cs="Arial" w:eastAsia="Arial" w:hAnsi="Arial"/>
                <w:b/>
                <w:bCs/>
                <w:color w:val="1A1A1A"/>
                <w:sz w:val="20"/>
                <w:szCs w:val="20"/>
              </w:rPr>
              <w:t xml:space="preserve">🚗  地下层 Underground Layer</w:t>
            </w:r>
          </w:p>
        </w:tc>
        <w:tc>
          <w:tcPr>
            <w:tcW w:type="dxa" w:w="3480"/>
            <w:tcBorders>
              <w:top w:val="single" w:color="CCCCCC" w:sz="1"/>
              <w:left w:val="single" w:color="CCCCCC" w:sz="1"/>
              <w:bottom w:val="single" w:color="CCCCCC" w:sz="1"/>
              <w:right w:val="single" w:color="CCCCCC" w:sz="1"/>
            </w:tcBorders>
            <w:shd w:fill="FFF3E0" w:val="clear"/>
            <w:tcMar>
              <w:top w:type="dxa" w:w="120"/>
              <w:left w:type="dxa" w:w="160"/>
              <w:bottom w:type="dxa" w:w="120"/>
              <w:right w:type="dxa" w:w="160"/>
            </w:tcMar>
          </w:tcPr>
          <w:p>
            <w:r>
              <w:rPr>
                <w:rFonts w:ascii="Arial" w:cs="Arial" w:eastAsia="Arial" w:hAnsi="Arial"/>
                <w:color w:val="1A1A1A"/>
                <w:sz w:val="20"/>
                <w:szCs w:val="20"/>
              </w:rPr>
              <w:t xml:space="preserve">全自动驾驶车辆 + 地下无人机廊道</w:t>
            </w:r>
          </w:p>
          <w:p>
            <w:r>
              <w:rPr>
                <w:rFonts w:ascii="Arial" w:cs="Arial" w:eastAsia="Arial" w:hAnsi="Arial"/>
                <w:color w:val="1A1A1A"/>
                <w:sz w:val="20"/>
                <w:szCs w:val="20"/>
              </w:rPr>
              <w:t xml:space="preserve">中央UTM控制系统统一调度</w:t>
            </w:r>
          </w:p>
        </w:tc>
        <w:tc>
          <w:tcPr>
            <w:tcW w:type="dxa" w:w="3480"/>
            <w:tcBorders>
              <w:top w:val="single" w:color="CCCCCC" w:sz="1"/>
              <w:left w:val="single" w:color="CCCCCC" w:sz="1"/>
              <w:bottom w:val="single" w:color="CCCCCC" w:sz="1"/>
              <w:right w:val="single" w:color="CCCCCC" w:sz="1"/>
            </w:tcBorders>
            <w:shd w:fill="FFF3E0" w:val="clear"/>
            <w:tcMar>
              <w:top w:type="dxa" w:w="120"/>
              <w:left w:type="dxa" w:w="160"/>
              <w:bottom w:type="dxa" w:w="120"/>
              <w:right w:type="dxa" w:w="160"/>
            </w:tcMar>
          </w:tcPr>
          <w:p>
            <w:r>
              <w:rPr>
                <w:rFonts w:ascii="Arial" w:cs="Arial" w:eastAsia="Arial" w:hAnsi="Arial"/>
                <w:i/>
                <w:iCs/>
                <w:color w:val="1A1A1A"/>
                <w:sz w:val="20"/>
                <w:szCs w:val="20"/>
              </w:rPr>
              <w:t xml:space="preserve">Autonomous vehicles + underground drone corridors</w:t>
            </w:r>
          </w:p>
          <w:p>
            <w:r>
              <w:rPr>
                <w:rFonts w:ascii="Arial" w:cs="Arial" w:eastAsia="Arial" w:hAnsi="Arial"/>
                <w:i/>
                <w:iCs/>
                <w:color w:val="1A1A1A"/>
                <w:sz w:val="20"/>
                <w:szCs w:val="20"/>
              </w:rPr>
              <w:t xml:space="preserve">Central UTM dispatch system</w:t>
            </w:r>
          </w:p>
        </w:tc>
      </w:tr>
    </w:tbl>
    <w:p>
      <w:pPr>
        <w:spacing w:before="80" w:after="80"/>
      </w:pPr>
      <w:r>
        <w:t xml:space="preserve"/>
      </w:r>
    </w:p>
    <w:p>
      <w:pPr>
        <w:spacing w:before="100" w:after="100"/>
      </w:pPr>
      <w:r>
        <w:rPr>
          <w:rFonts w:ascii="Arial" w:cs="Arial" w:eastAsia="Arial" w:hAnsi="Arial"/>
          <w:color w:val="1A1A1A"/>
          <w:sz w:val="22"/>
          <w:szCs w:val="22"/>
        </w:rPr>
        <w:t xml:space="preserve">三层之间通过「智能垂直交通枢纽」（Vertical Mobility Hub）相连——这是一种融合了电梯、无人机升降井、自动驾驶车辆接送站于一体的城市基础设施节点，同时也是社区活动的核心广场。</w:t>
      </w:r>
    </w:p>
    <w:p>
      <w:pPr>
        <w:spacing w:before="80" w:after="80"/>
      </w:pPr>
      <w:r>
        <w:t xml:space="preserve"/>
      </w:r>
    </w:p>
    <w:p>
      <w:pPr>
        <w:pStyle w:val="Heading2"/>
        <w:spacing w:before="320" w:after="160"/>
      </w:pPr>
      <w:r>
        <w:rPr>
          <w:rFonts w:ascii="Arial" w:cs="Arial" w:eastAsia="Arial" w:hAnsi="Arial"/>
          <w:b/>
          <w:bCs/>
          <w:color w:val="1B5E20"/>
          <w:sz w:val="28"/>
          <w:szCs w:val="28"/>
        </w:rPr>
        <w:t xml:space="preserve">2.1  空中层：低空经济与城市空中交通</w:t>
      </w:r>
    </w:p>
    <w:p>
      <w:pPr>
        <w:spacing w:before="100" w:after="100"/>
      </w:pPr>
      <w:r>
        <w:rPr>
          <w:rFonts w:ascii="Arial" w:cs="Arial" w:eastAsia="Arial" w:hAnsi="Arial"/>
          <w:color w:val="1A1A1A"/>
          <w:sz w:val="22"/>
          <w:szCs w:val="22"/>
        </w:rPr>
        <w:t xml:space="preserve">低空空域将承载两类核心功能：其一是eVTOL（电动垂直起降飞行器）空中出租车，实现城市内部的快速点对点人员输送；其二是无人机物流网络，负责快递、外卖、医疗物资等即时配送。所有飞行器接入城市UTM（无人机交通管理系统），由中央系统统一调度，自动规划航线、防止碰撞，无需人工操控。建筑屋顶设计为「Vertiport」（垂直起降坪），与空中交通网络无缝衔接。</w:t>
      </w:r>
    </w:p>
    <w:p>
      <w:pPr>
        <w:spacing w:before="80" w:after="80"/>
      </w:pPr>
      <w:r>
        <w:t xml:space="preserve"/>
      </w:r>
    </w:p>
    <w:p>
      <w:pPr>
        <w:spacing w:before="100" w:after="100"/>
      </w:pPr>
      <w:r>
        <w:rPr>
          <w:rFonts w:ascii="Arial" w:cs="Arial" w:eastAsia="Arial" w:hAnsi="Arial"/>
          <w:i/>
          <w:iCs/>
          <w:color w:val="555555"/>
          <w:sz w:val="22"/>
          <w:szCs w:val="22"/>
        </w:rPr>
        <w:t xml:space="preserve">The low-altitude airspace hosts two core functions: eVTOL air taxis for rapid point-to-point passenger transport, and a UAV logistics network for instant delivery of parcels, food, and medical supplies. All aircraft are integrated into the city's UTM (Unmanned Traffic Management) system, which centrally dispatches every vehicle, auto-routes flights, and prevents collisions with no human intervention. Building rooftops are designed as Vertiports, seamlessly integrated with the aerial network.</w:t>
      </w:r>
    </w:p>
    <w:p>
      <w:pPr>
        <w:spacing w:before="80" w:after="80"/>
      </w:pPr>
      <w:r>
        <w:t xml:space="preserve"/>
      </w:r>
    </w:p>
    <w:p>
      <w:pPr>
        <w:pStyle w:val="Heading2"/>
        <w:spacing w:before="320" w:after="160"/>
      </w:pPr>
      <w:r>
        <w:rPr>
          <w:rFonts w:ascii="Arial" w:cs="Arial" w:eastAsia="Arial" w:hAnsi="Arial"/>
          <w:b/>
          <w:bCs/>
          <w:color w:val="1B5E20"/>
          <w:sz w:val="28"/>
          <w:szCs w:val="28"/>
        </w:rPr>
        <w:t xml:space="preserve">2.2  地面层：无车城市生态系统</w:t>
      </w:r>
    </w:p>
    <w:p>
      <w:pPr>
        <w:spacing w:before="100" w:after="100"/>
      </w:pPr>
      <w:r>
        <w:rPr>
          <w:rFonts w:ascii="Arial" w:cs="Arial" w:eastAsia="Arial" w:hAnsi="Arial"/>
          <w:color w:val="1A1A1A"/>
          <w:sz w:val="22"/>
          <w:szCs w:val="22"/>
        </w:rPr>
        <w:t xml:space="preserve">地面层是整座城市最革命性的空间。由于道路全部入地，城市地面成为一个连续的、不被任何道路切割的完整生态系统。这里没有停车场，没有退缩红线，没有车行道——只有公园、绿地、水系、动物栖息区、连通建筑群，以及供步行者、推婴儿车的父母和滑板爱好者使用的慢行共享区。建筑之间通过空中连廊或地面直接相连，整个城市地面像一个巨大的室内外融合空间，人们可以从一栋建筑无缝走入另一栋。</w:t>
      </w:r>
    </w:p>
    <w:p>
      <w:pPr>
        <w:spacing w:before="80" w:after="80"/>
      </w:pPr>
      <w:r>
        <w:t xml:space="preserve"/>
      </w:r>
    </w:p>
    <w:p>
      <w:pPr>
        <w:spacing w:before="100" w:after="100"/>
      </w:pPr>
      <w:r>
        <w:rPr>
          <w:rFonts w:ascii="Arial" w:cs="Arial" w:eastAsia="Arial" w:hAnsi="Arial"/>
          <w:i/>
          <w:iCs/>
          <w:color w:val="555555"/>
          <w:sz w:val="22"/>
          <w:szCs w:val="22"/>
        </w:rPr>
        <w:t xml:space="preserve">The ground level is the city's most revolutionary space. With all roads underground, the surface becomes a continuous, uninterrupted ecosystem — no parking lots, no setback lines, no vehicle lanes. Only parks, greenery, waterways, wildlife habitats, connected building clusters, and shared slow mobility zones for walkers, parents with strollers, and skateboarders. Buildings connect via sky bridges or directly at grade, and the entire surface flows like one vast indoor-outdoor living space.</w:t>
      </w:r>
    </w:p>
    <w:p>
      <w:pPr>
        <w:spacing w:before="80" w:after="80"/>
      </w:pPr>
      <w:r>
        <w:t xml:space="preserve"/>
      </w:r>
    </w:p>
    <w:p>
      <w:pPr>
        <w:pStyle w:val="Heading2"/>
        <w:spacing w:before="320" w:after="160"/>
      </w:pPr>
      <w:r>
        <w:rPr>
          <w:rFonts w:ascii="Arial" w:cs="Arial" w:eastAsia="Arial" w:hAnsi="Arial"/>
          <w:b/>
          <w:bCs/>
          <w:color w:val="1B5E20"/>
          <w:sz w:val="28"/>
          <w:szCs w:val="28"/>
        </w:rPr>
        <w:t xml:space="preserve">2.3  地下层：自动驾驶 + 地下无人机廊道</w:t>
      </w:r>
    </w:p>
    <w:p>
      <w:pPr>
        <w:spacing w:before="100" w:after="100"/>
      </w:pPr>
      <w:r>
        <w:rPr>
          <w:rFonts w:ascii="Arial" w:cs="Arial" w:eastAsia="Arial" w:hAnsi="Arial"/>
          <w:color w:val="1A1A1A"/>
          <w:sz w:val="22"/>
          <w:szCs w:val="22"/>
        </w:rPr>
        <w:t xml:space="preserve">地下交通网络承担城市内部所有机动化出行需求。全部车辆为L4/L5级自动驾驶，由中央控制系统统一调度，不依赖人工驾驶，因此无需红绿灯、无需人行横道、无需应对人类行为的不确定性。更具创新性的是，地下隧道同时作为无人机物流廊道使用——密封环境、无风无雨，比室外更适合无人机稳定飞行，可承担大批量货物的地下配送，与空中无人机形成双轨物流体系。城外则保留传统地面高速公路，用于城际交通，无需在开阔地带建设昂贵的地下隧道。</w:t>
      </w:r>
    </w:p>
    <w:p>
      <w:pPr>
        <w:spacing w:before="80" w:after="80"/>
      </w:pPr>
      <w:r>
        <w:t xml:space="preserve"/>
      </w:r>
    </w:p>
    <w:p>
      <w:pPr>
        <w:spacing w:before="100" w:after="100"/>
      </w:pPr>
      <w:r>
        <w:rPr>
          <w:rFonts w:ascii="Arial" w:cs="Arial" w:eastAsia="Arial" w:hAnsi="Arial"/>
          <w:i/>
          <w:iCs/>
          <w:color w:val="555555"/>
          <w:sz w:val="22"/>
          <w:szCs w:val="22"/>
        </w:rPr>
        <w:t xml:space="preserve">The underground network handles all motorized mobility within the city. Every vehicle operates at L4/L5 autonomy, centrally dispatched — no traffic lights, no crosswalks, no unpredictable human behavior. More innovatively, the tunnels double as underground drone logistics corridors: the sealed, windless, weatherproof environment is in many ways ideal for UAV flight, enabling high-volume subterranean delivery alongside the aerial drone network. Outside the city, conventional surface highways remain for intercity travel — there is no need for expensive underground tunneling across open land.</w:t>
      </w:r>
    </w:p>
    <w:p>
      <w:pPr>
        <w:spacing w:before="80" w:after="80"/>
      </w:pPr>
      <w:r>
        <w:t xml:space="preserve"/>
      </w:r>
    </w:p>
    <w:p>
      <w:pPr>
        <w:pBdr>
          <w:bottom w:val="single" w:color="C8E6C9" w:sz="4" w:space="1"/>
        </w:pBdr>
        <w:spacing w:before="200" w:after="200"/>
      </w:pPr>
      <w:r>
        <w:t xml:space="preserve"/>
      </w:r>
    </w:p>
    <w:p>
      <w:pPr>
        <w:pStyle w:val="Heading1"/>
        <w:pBdr>
          <w:bottom w:val="single" w:color="2E7D32" w:sz="6" w:space="4"/>
        </w:pBdr>
        <w:spacing w:before="400" w:after="200"/>
      </w:pPr>
      <w:r>
        <w:rPr>
          <w:rFonts w:ascii="Arial" w:cs="Arial" w:eastAsia="Arial" w:hAnsi="Arial"/>
          <w:b/>
          <w:bCs/>
          <w:color w:val="2E7D32"/>
          <w:sz w:val="36"/>
          <w:szCs w:val="36"/>
        </w:rPr>
        <w:t xml:space="preserve">三、动物与人的共生设计  Human-Wildlife Coexistence</w:t>
      </w:r>
    </w:p>
    <w:p>
      <w:pPr>
        <w:spacing w:before="80" w:after="80"/>
      </w:pPr>
      <w:r>
        <w:t xml:space="preserve"/>
      </w:r>
    </w:p>
    <w:p>
      <w:pPr>
        <w:spacing w:before="100" w:after="100"/>
      </w:pPr>
      <w:r>
        <w:rPr>
          <w:rFonts w:ascii="Arial" w:cs="Arial" w:eastAsia="Arial" w:hAnsi="Arial"/>
          <w:color w:val="1A1A1A"/>
          <w:sz w:val="22"/>
          <w:szCs w:val="22"/>
        </w:rPr>
        <w:t xml:space="preserve">这座城市不是「附带绿化的人类城市」，而是「人类作为客人参与其中的生态系统」。设计哲学来自一个根本性的翻转：</w:t>
      </w:r>
    </w:p>
    <w:p>
      <w:pPr>
        <w:spacing w:before="80" w:after="80"/>
      </w:pPr>
      <w:r>
        <w:t xml:space="preserve"/>
      </w:r>
    </w:p>
    <w:p>
      <w:pPr>
        <w:pBdr>
          <w:left w:val="single" w:color="2E7D32" w:sz="16" w:space="8"/>
        </w:pBdr>
        <w:shd w:fill="E8F5E9" w:val="clear"/>
        <w:spacing w:before="100" w:after="100"/>
      </w:pPr>
      <w:r>
        <w:rPr>
          <w:rFonts w:ascii="Arial" w:cs="Arial" w:eastAsia="Arial" w:hAnsi="Arial"/>
          <w:b/>
          <w:bCs/>
          <w:color w:val="2E7D32"/>
          <w:sz w:val="24"/>
          <w:szCs w:val="24"/>
        </w:rPr>
        <w:t xml:space="preserve">  不是把动物带入人类的城市，而是人类走进动物的领地。</w:t>
      </w:r>
    </w:p>
    <w:p>
      <w:pPr>
        <w:pBdr>
          <w:left w:val="single" w:color="2E7D32" w:sz="16" w:space="8"/>
        </w:pBdr>
        <w:shd w:fill="E8F5E9" w:val="clear"/>
        <w:spacing w:before="60" w:after="100"/>
      </w:pPr>
      <w:r>
        <w:rPr>
          <w:rFonts w:ascii="Arial" w:cs="Arial" w:eastAsia="Arial" w:hAnsi="Arial"/>
          <w:i/>
          <w:iCs/>
          <w:color w:val="555555"/>
          <w:sz w:val="20"/>
          <w:szCs w:val="20"/>
        </w:rPr>
        <w:t xml:space="preserve">  Not bringing animals into the human city — but humans entering the animals' territory.</w:t>
      </w:r>
    </w:p>
    <w:p>
      <w:pPr>
        <w:spacing w:before="80" w:after="80"/>
      </w:pPr>
      <w:r>
        <w:t xml:space="preserve"/>
      </w:r>
    </w:p>
    <w:p>
      <w:pPr>
        <w:spacing w:before="100" w:after="100"/>
      </w:pPr>
      <w:r>
        <w:rPr>
          <w:rFonts w:ascii="Arial" w:cs="Arial" w:eastAsia="Arial" w:hAnsi="Arial"/>
          <w:color w:val="1A1A1A"/>
          <w:sz w:val="22"/>
          <w:szCs w:val="22"/>
        </w:rPr>
        <w:t xml:space="preserve">地面层按照生态逻辑自然分区，而非行政划定边界：深度野生区（Deep Wildlife Zone）是大型动物的专属领地，人类只能远观，通过生态廊道相互连通，保障动物的自由迁徙路径；共生过渡区（Cohabitation Zone）允许小型动物与人自由共处，无围栏、无笼舍；人类活动区（Human Activity Zone）以建筑和慢行设施为主，但动物可以自由穿行底层。</w:t>
      </w:r>
    </w:p>
    <w:p>
      <w:pPr>
        <w:spacing w:before="80" w:after="80"/>
      </w:pPr>
      <w:r>
        <w:t xml:space="preserve"/>
      </w:r>
    </w:p>
    <w:p>
      <w:pPr>
        <w:spacing w:before="100" w:after="100"/>
      </w:pPr>
      <w:r>
        <w:rPr>
          <w:rFonts w:ascii="Arial" w:cs="Arial" w:eastAsia="Arial" w:hAnsi="Arial"/>
          <w:color w:val="1A1A1A"/>
          <w:sz w:val="22"/>
          <w:szCs w:val="22"/>
        </w:rPr>
        <w:t xml:space="preserve">边界不依赖围墙，而是通过地形起伏、水系、植被密度和声学设计来自然引导动物和人的活动范围——这是一种「隐形边界」设计，让城市在视觉上保持完整连续，同时在生态上实现合理分区。</w:t>
      </w:r>
    </w:p>
    <w:p>
      <w:pPr>
        <w:spacing w:before="80" w:after="80"/>
      </w:pPr>
      <w:r>
        <w:t xml:space="preserve"/>
      </w:r>
    </w:p>
    <w:p>
      <w:pPr>
        <w:spacing w:before="100" w:after="100"/>
      </w:pPr>
      <w:r>
        <w:rPr>
          <w:rFonts w:ascii="Arial" w:cs="Arial" w:eastAsia="Arial" w:hAnsi="Arial"/>
          <w:i/>
          <w:iCs/>
          <w:color w:val="555555"/>
          <w:sz w:val="22"/>
          <w:szCs w:val="22"/>
        </w:rPr>
        <w:t xml:space="preserve">Zone boundaries use no walls — instead, terrain variation, waterways, vegetation density, and acoustic design naturally guide the movement of both humans and animals. This 'invisible boundary' approach maintains visual continuity across the city while achieving ecologically sound zoning.</w:t>
      </w:r>
    </w:p>
    <w:p>
      <w:pPr>
        <w:spacing w:before="80" w:after="80"/>
      </w:pPr>
      <w:r>
        <w:t xml:space="preserve"/>
      </w:r>
    </w:p>
    <w:p>
      <w:pPr>
        <w:spacing w:before="100" w:after="100"/>
      </w:pPr>
      <w:r>
        <w:rPr>
          <w:rFonts w:ascii="Arial" w:cs="Arial" w:eastAsia="Arial" w:hAnsi="Arial"/>
          <w:color w:val="1A1A1A"/>
          <w:sz w:val="22"/>
          <w:szCs w:val="22"/>
        </w:rPr>
        <w:t xml:space="preserve">参考案例：南京红山森林动物园已在践行「动物是主人，游客是客人」的理念，并于2011年成为中国第一个停止动物表演的动物园，绿化覆盖率高达85%。这座未来城市将这一理念从动物园尺度放大至整个城市尺度。</w:t>
      </w:r>
    </w:p>
    <w:p>
      <w:pPr>
        <w:spacing w:before="80" w:after="80"/>
      </w:pPr>
      <w:r>
        <w:t xml:space="preserve"/>
      </w:r>
    </w:p>
    <w:p>
      <w:pPr>
        <w:pBdr>
          <w:bottom w:val="single" w:color="C8E6C9" w:sz="4" w:space="1"/>
        </w:pBdr>
        <w:spacing w:before="200" w:after="200"/>
      </w:pPr>
      <w:r>
        <w:t xml:space="preserve"/>
      </w:r>
    </w:p>
    <w:p>
      <w:pPr>
        <w:pStyle w:val="Heading1"/>
        <w:pBdr>
          <w:bottom w:val="single" w:color="2E7D32" w:sz="6" w:space="4"/>
        </w:pBdr>
        <w:spacing w:before="400" w:after="200"/>
      </w:pPr>
      <w:r>
        <w:rPr>
          <w:rFonts w:ascii="Arial" w:cs="Arial" w:eastAsia="Arial" w:hAnsi="Arial"/>
          <w:b/>
          <w:bCs/>
          <w:color w:val="2E7D32"/>
          <w:sz w:val="36"/>
          <w:szCs w:val="36"/>
        </w:rPr>
        <w:t xml:space="preserve">四、建筑即栖息地  Architecture as Habitat</w:t>
      </w:r>
    </w:p>
    <w:p>
      <w:pPr>
        <w:spacing w:before="80" w:after="80"/>
      </w:pPr>
      <w:r>
        <w:t xml:space="preserve"/>
      </w:r>
    </w:p>
    <w:p>
      <w:pPr>
        <w:spacing w:before="100" w:after="100"/>
      </w:pPr>
      <w:r>
        <w:rPr>
          <w:rFonts w:ascii="Arial" w:cs="Arial" w:eastAsia="Arial" w:hAnsi="Arial"/>
          <w:color w:val="1A1A1A"/>
          <w:sz w:val="22"/>
          <w:szCs w:val="22"/>
        </w:rPr>
        <w:t xml:space="preserve">由于地面无路，建筑从根本上获得了解放。未来城市的建筑遵循「共生建筑」（Symbiotic Architecture）原则，建筑本身是生态系统的组成部分，而非嵌入生态系统的异物。</w:t>
      </w:r>
    </w:p>
    <w:p>
      <w:pPr>
        <w:spacing w:before="80" w:after="80"/>
      </w:pPr>
      <w:r>
        <w:t xml:space="preserve"/>
      </w:r>
    </w:p>
    <w:p>
      <w:pPr>
        <w:pStyle w:val="Heading2"/>
        <w:spacing w:before="320" w:after="160"/>
      </w:pPr>
      <w:r>
        <w:rPr>
          <w:rFonts w:ascii="Arial" w:cs="Arial" w:eastAsia="Arial" w:hAnsi="Arial"/>
          <w:b/>
          <w:bCs/>
          <w:color w:val="1B5E20"/>
          <w:sz w:val="28"/>
          <w:szCs w:val="28"/>
        </w:rPr>
        <w:t xml:space="preserve">4.1  建筑形态</w:t>
      </w:r>
    </w:p>
    <w:p>
      <w:pPr>
        <w:spacing w:before="100" w:after="100"/>
      </w:pPr>
      <w:r>
        <w:rPr>
          <w:rFonts w:ascii="Arial" w:cs="Arial" w:eastAsia="Arial" w:hAnsi="Arial"/>
          <w:color w:val="1A1A1A"/>
          <w:sz w:val="22"/>
          <w:szCs w:val="22"/>
        </w:rPr>
        <w:t xml:space="preserve">外墙不是「附着植物的混凝土墙」，而是由活体植物层、土壤基质与透水结构共同构成的生命系统，鸟类和昆虫可在墙体内部筑巢。建筑形态模仿自然界的有机形态——树根的分叉、蜂巢的结构、珊瑚礁的层次——没有多余的直角，没有与自然对立的冰冷立面。</w:t>
      </w:r>
    </w:p>
    <w:p>
      <w:pPr>
        <w:spacing w:before="80" w:after="80"/>
      </w:pPr>
      <w:r>
        <w:t xml:space="preserve"/>
      </w:r>
    </w:p>
    <w:p>
      <w:pPr>
        <w:spacing w:before="100" w:after="100"/>
      </w:pPr>
      <w:r>
        <w:rPr>
          <w:rFonts w:ascii="Arial" w:cs="Arial" w:eastAsia="Arial" w:hAnsi="Arial"/>
          <w:i/>
          <w:iCs/>
          <w:color w:val="555555"/>
          <w:sz w:val="22"/>
          <w:szCs w:val="22"/>
        </w:rPr>
        <w:t xml:space="preserve">Facades are not 'concrete walls with plants attached' but living systems composed of plant layers, soil substrates, and permeable structures — birds and insects nest within the building fabric itself. Architectural forms mimic organic natural geometries: the branching of tree roots, the geometry of honeycombs, the layering of coral reefs.</w:t>
      </w:r>
    </w:p>
    <w:p>
      <w:pPr>
        <w:spacing w:before="80" w:after="80"/>
      </w:pPr>
      <w:r>
        <w:t xml:space="preserve"/>
      </w:r>
    </w:p>
    <w:p>
      <w:pPr>
        <w:pStyle w:val="Heading2"/>
        <w:spacing w:before="320" w:after="160"/>
      </w:pPr>
      <w:r>
        <w:rPr>
          <w:rFonts w:ascii="Arial" w:cs="Arial" w:eastAsia="Arial" w:hAnsi="Arial"/>
          <w:b/>
          <w:bCs/>
          <w:color w:val="1B5E20"/>
          <w:sz w:val="28"/>
          <w:szCs w:val="28"/>
        </w:rPr>
        <w:t xml:space="preserve">4.2  垂直功能分层</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C8E6C9" w:val="clear"/>
            <w:tcMar>
              <w:top w:type="dxa" w:w="80"/>
              <w:left w:type="dxa" w:w="140"/>
              <w:bottom w:type="dxa" w:w="80"/>
              <w:right w:type="dxa" w:w="140"/>
            </w:tcMar>
          </w:tcPr>
          <w:p>
            <w:r>
              <w:rPr>
                <w:rFonts w:ascii="Arial" w:cs="Arial" w:eastAsia="Arial" w:hAnsi="Arial"/>
                <w:b/>
                <w:bCs/>
                <w:color w:val="1B5E20"/>
                <w:sz w:val="19"/>
                <w:szCs w:val="19"/>
              </w:rPr>
              <w:t xml:space="preserve">屋顶层  Rooftop</w:t>
            </w:r>
          </w:p>
        </w:tc>
        <w:tc>
          <w:tcPr>
            <w:tcW w:type="dxa" w:w="6960"/>
            <w:tcBorders>
              <w:top w:val="single" w:color="CCCCCC" w:sz="1"/>
              <w:left w:val="single" w:color="CCCCCC" w:sz="1"/>
              <w:bottom w:val="single" w:color="CCCCCC" w:sz="1"/>
              <w:right w:val="single" w:color="CCCCCC" w:sz="1"/>
            </w:tcBorders>
            <w:shd w:fill="F9FBF9" w:val="clear"/>
            <w:tcMar>
              <w:top w:type="dxa" w:w="80"/>
              <w:left w:type="dxa" w:w="140"/>
              <w:bottom w:type="dxa" w:w="80"/>
              <w:right w:type="dxa" w:w="140"/>
            </w:tcMar>
          </w:tcPr>
          <w:p>
            <w:r>
              <w:rPr>
                <w:rFonts w:ascii="Arial" w:cs="Arial" w:eastAsia="Arial" w:hAnsi="Arial"/>
                <w:color w:val="1A1A1A"/>
                <w:sz w:val="19"/>
                <w:szCs w:val="19"/>
              </w:rPr>
              <w:t xml:space="preserve">大型鸟类栖息地 · 无人机Vertiport · 太阳能采集 / Bird habitat · Drone Vertiport · Solar collection</w:t>
            </w:r>
          </w:p>
        </w:tc>
      </w:tr>
      <w:tr>
        <w:tc>
          <w:tcPr>
            <w:tcW w:type="dxa" w:w="2400"/>
            <w:tcBorders>
              <w:top w:val="single" w:color="CCCCCC" w:sz="1"/>
              <w:left w:val="single" w:color="CCCCCC" w:sz="1"/>
              <w:bottom w:val="single" w:color="CCCCCC" w:sz="1"/>
              <w:right w:val="single" w:color="CCCCCC" w:sz="1"/>
            </w:tcBorders>
            <w:shd w:fill="E8F5E9" w:val="clear"/>
            <w:tcMar>
              <w:top w:type="dxa" w:w="80"/>
              <w:left w:type="dxa" w:w="140"/>
              <w:bottom w:type="dxa" w:w="80"/>
              <w:right w:type="dxa" w:w="140"/>
            </w:tcMar>
          </w:tcPr>
          <w:p>
            <w:r>
              <w:rPr>
                <w:rFonts w:ascii="Arial" w:cs="Arial" w:eastAsia="Arial" w:hAnsi="Arial"/>
                <w:b/>
                <w:bCs/>
                <w:color w:val="1B5E20"/>
                <w:sz w:val="19"/>
                <w:szCs w:val="19"/>
              </w:rPr>
              <w:t xml:space="preserve">高层  Upper Floors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19"/>
                <w:szCs w:val="19"/>
              </w:rPr>
              <w:t xml:space="preserve">人类居住与办公，大面积开窗融入树冠视野 / Human living &amp; working, canopy-level views</w:t>
            </w:r>
          </w:p>
        </w:tc>
      </w:tr>
      <w:tr>
        <w:tc>
          <w:tcPr>
            <w:tcW w:type="dxa" w:w="2400"/>
            <w:tcBorders>
              <w:top w:val="single" w:color="CCCCCC" w:sz="1"/>
              <w:left w:val="single" w:color="CCCCCC" w:sz="1"/>
              <w:bottom w:val="single" w:color="CCCCCC" w:sz="1"/>
              <w:right w:val="single" w:color="CCCCCC" w:sz="1"/>
            </w:tcBorders>
            <w:shd w:fill="C8E6C9" w:val="clear"/>
            <w:tcMar>
              <w:top w:type="dxa" w:w="80"/>
              <w:left w:type="dxa" w:w="140"/>
              <w:bottom w:type="dxa" w:w="80"/>
              <w:right w:type="dxa" w:w="140"/>
            </w:tcMar>
          </w:tcPr>
          <w:p>
            <w:r>
              <w:rPr>
                <w:rFonts w:ascii="Arial" w:cs="Arial" w:eastAsia="Arial" w:hAnsi="Arial"/>
                <w:b/>
                <w:bCs/>
                <w:color w:val="1B5E20"/>
                <w:sz w:val="19"/>
                <w:szCs w:val="19"/>
              </w:rPr>
              <w:t xml:space="preserve">中层  Mid Floors</w:t>
            </w:r>
          </w:p>
        </w:tc>
        <w:tc>
          <w:tcPr>
            <w:tcW w:type="dxa" w:w="6960"/>
            <w:tcBorders>
              <w:top w:val="single" w:color="CCCCCC" w:sz="1"/>
              <w:left w:val="single" w:color="CCCCCC" w:sz="1"/>
              <w:bottom w:val="single" w:color="CCCCCC" w:sz="1"/>
              <w:right w:val="single" w:color="CCCCCC" w:sz="1"/>
            </w:tcBorders>
            <w:shd w:fill="F9FBF9" w:val="clear"/>
            <w:tcMar>
              <w:top w:type="dxa" w:w="80"/>
              <w:left w:type="dxa" w:w="140"/>
              <w:bottom w:type="dxa" w:w="80"/>
              <w:right w:type="dxa" w:w="140"/>
            </w:tcMar>
          </w:tcPr>
          <w:p>
            <w:r>
              <w:rPr>
                <w:rFonts w:ascii="Arial" w:cs="Arial" w:eastAsia="Arial" w:hAnsi="Arial"/>
                <w:color w:val="1A1A1A"/>
                <w:sz w:val="19"/>
                <w:szCs w:val="19"/>
              </w:rPr>
              <w:t xml:space="preserve">人与动物过渡区，开放式露台与植物廊道 / Human-animal transition zone, open terraces</w:t>
            </w:r>
          </w:p>
        </w:tc>
      </w:tr>
      <w:tr>
        <w:tc>
          <w:tcPr>
            <w:tcW w:type="dxa" w:w="2400"/>
            <w:tcBorders>
              <w:top w:val="single" w:color="CCCCCC" w:sz="1"/>
              <w:left w:val="single" w:color="CCCCCC" w:sz="1"/>
              <w:bottom w:val="single" w:color="CCCCCC" w:sz="1"/>
              <w:right w:val="single" w:color="CCCCCC" w:sz="1"/>
            </w:tcBorders>
            <w:shd w:fill="E8F5E9" w:val="clear"/>
            <w:tcMar>
              <w:top w:type="dxa" w:w="80"/>
              <w:left w:type="dxa" w:w="140"/>
              <w:bottom w:type="dxa" w:w="80"/>
              <w:right w:type="dxa" w:w="140"/>
            </w:tcMar>
          </w:tcPr>
          <w:p>
            <w:r>
              <w:rPr>
                <w:rFonts w:ascii="Arial" w:cs="Arial" w:eastAsia="Arial" w:hAnsi="Arial"/>
                <w:b/>
                <w:bCs/>
                <w:color w:val="1B5E20"/>
                <w:sz w:val="19"/>
                <w:szCs w:val="19"/>
              </w:rPr>
              <w:t xml:space="preserve">底层  Ground Floor</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19"/>
                <w:szCs w:val="19"/>
              </w:rPr>
              <w:t xml:space="preserve">完全开放，无实体外墙，动物自由穿行 / Fully open, no solid walls, wildlife moves freely</w:t>
            </w:r>
          </w:p>
        </w:tc>
      </w:tr>
      <w:tr>
        <w:tc>
          <w:tcPr>
            <w:tcW w:type="dxa" w:w="2400"/>
            <w:tcBorders>
              <w:top w:val="single" w:color="CCCCCC" w:sz="1"/>
              <w:left w:val="single" w:color="CCCCCC" w:sz="1"/>
              <w:bottom w:val="single" w:color="CCCCCC" w:sz="1"/>
              <w:right w:val="single" w:color="CCCCCC" w:sz="1"/>
            </w:tcBorders>
            <w:shd w:fill="C8E6C9" w:val="clear"/>
            <w:tcMar>
              <w:top w:type="dxa" w:w="80"/>
              <w:left w:type="dxa" w:w="140"/>
              <w:bottom w:type="dxa" w:w="80"/>
              <w:right w:type="dxa" w:w="140"/>
            </w:tcMar>
          </w:tcPr>
          <w:p>
            <w:r>
              <w:rPr>
                <w:rFonts w:ascii="Arial" w:cs="Arial" w:eastAsia="Arial" w:hAnsi="Arial"/>
                <w:b/>
                <w:bCs/>
                <w:color w:val="1B5E20"/>
                <w:sz w:val="19"/>
                <w:szCs w:val="19"/>
              </w:rPr>
              <w:t xml:space="preserve">地下层  Below Grade</w:t>
            </w:r>
          </w:p>
        </w:tc>
        <w:tc>
          <w:tcPr>
            <w:tcW w:type="dxa" w:w="6960"/>
            <w:tcBorders>
              <w:top w:val="single" w:color="CCCCCC" w:sz="1"/>
              <w:left w:val="single" w:color="CCCCCC" w:sz="1"/>
              <w:bottom w:val="single" w:color="CCCCCC" w:sz="1"/>
              <w:right w:val="single" w:color="CCCCCC" w:sz="1"/>
            </w:tcBorders>
            <w:shd w:fill="F9FBF9" w:val="clear"/>
            <w:tcMar>
              <w:top w:type="dxa" w:w="80"/>
              <w:left w:type="dxa" w:w="140"/>
              <w:bottom w:type="dxa" w:w="80"/>
              <w:right w:type="dxa" w:w="140"/>
            </w:tcMar>
          </w:tcPr>
          <w:p>
            <w:r>
              <w:rPr>
                <w:rFonts w:ascii="Arial" w:cs="Arial" w:eastAsia="Arial" w:hAnsi="Arial"/>
                <w:color w:val="1A1A1A"/>
                <w:sz w:val="19"/>
                <w:szCs w:val="19"/>
              </w:rPr>
              <w:t xml:space="preserve">直接接入自动驾驶交通网络与地下无人机廊道 / Direct connection to autonomous transport network</w:t>
            </w:r>
          </w:p>
        </w:tc>
      </w:tr>
    </w:tbl>
    <w:p>
      <w:pPr>
        <w:spacing w:before="80" w:after="80"/>
      </w:pPr>
      <w:r>
        <w:t xml:space="preserve"/>
      </w:r>
    </w:p>
    <w:p>
      <w:pPr>
        <w:pStyle w:val="Heading2"/>
        <w:spacing w:before="320" w:after="160"/>
      </w:pPr>
      <w:r>
        <w:rPr>
          <w:rFonts w:ascii="Arial" w:cs="Arial" w:eastAsia="Arial" w:hAnsi="Arial"/>
          <w:b/>
          <w:bCs/>
          <w:color w:val="1B5E20"/>
          <w:sz w:val="28"/>
          <w:szCs w:val="28"/>
        </w:rPr>
        <w:t xml:space="preserve">4.3  建筑连通性</w:t>
      </w:r>
    </w:p>
    <w:p>
      <w:pPr>
        <w:spacing w:before="100" w:after="100"/>
      </w:pPr>
      <w:r>
        <w:rPr>
          <w:rFonts w:ascii="Arial" w:cs="Arial" w:eastAsia="Arial" w:hAnsi="Arial"/>
          <w:color w:val="1A1A1A"/>
          <w:sz w:val="22"/>
          <w:szCs w:val="22"/>
        </w:rPr>
        <w:t xml:space="preserve">建筑之间通过空中连廊（Sky Bridge）或地面直接相连，整座城市地面如同一个巨大的连续室内外融合空间。参考中国超市内部的流动性——人从一个区域无缝进入另一个区域，没有被道路强行切断的边界感。这在规划学上称为「连续城市肌理」（Continuous Urban Fabric），是这座城市彻底消除道路后最直接的空间红利。</w:t>
      </w:r>
    </w:p>
    <w:p>
      <w:pPr>
        <w:spacing w:before="80" w:after="80"/>
      </w:pPr>
      <w:r>
        <w:t xml:space="preserve"/>
      </w:r>
    </w:p>
    <w:p>
      <w:pPr>
        <w:pBdr>
          <w:bottom w:val="single" w:color="C8E6C9" w:sz="4" w:space="1"/>
        </w:pBdr>
        <w:spacing w:before="200" w:after="200"/>
      </w:pPr>
      <w:r>
        <w:t xml:space="preserve"/>
      </w:r>
    </w:p>
    <w:p>
      <w:pPr>
        <w:pStyle w:val="Heading1"/>
        <w:pBdr>
          <w:bottom w:val="single" w:color="2E7D32" w:sz="6" w:space="4"/>
        </w:pBdr>
        <w:spacing w:before="400" w:after="200"/>
      </w:pPr>
      <w:r>
        <w:rPr>
          <w:rFonts w:ascii="Arial" w:cs="Arial" w:eastAsia="Arial" w:hAnsi="Arial"/>
          <w:b/>
          <w:bCs/>
          <w:color w:val="2E7D32"/>
          <w:sz w:val="36"/>
          <w:szCs w:val="36"/>
        </w:rPr>
        <w:t xml:space="preserve">五、智能垂直交通枢纽  Vertical Mobility Hub</w:t>
      </w:r>
    </w:p>
    <w:p>
      <w:pPr>
        <w:spacing w:before="80" w:after="80"/>
      </w:pPr>
      <w:r>
        <w:t xml:space="preserve"/>
      </w:r>
    </w:p>
    <w:p>
      <w:pPr>
        <w:spacing w:before="100" w:after="100"/>
      </w:pPr>
      <w:r>
        <w:rPr>
          <w:rFonts w:ascii="Arial" w:cs="Arial" w:eastAsia="Arial" w:hAnsi="Arial"/>
          <w:color w:val="1A1A1A"/>
          <w:sz w:val="22"/>
          <w:szCs w:val="22"/>
        </w:rPr>
        <w:t xml:space="preserve">连接三个层次的关键节点是「智能垂直交通枢纽」，它不只是一个出入口，而是一个融合了交通、商业与社区功能的城市公共空间核心。</w:t>
      </w:r>
    </w:p>
    <w:p>
      <w:pPr>
        <w:spacing w:before="80" w:after="80"/>
      </w:pPr>
      <w:r>
        <w:t xml:space="preserve"/>
      </w:r>
    </w:p>
    <w:p>
      <w:pPr>
        <w:spacing w:before="100" w:after="100"/>
      </w:pPr>
      <w:r>
        <w:rPr>
          <w:rFonts w:ascii="Arial" w:cs="Arial" w:eastAsia="Arial" w:hAnsi="Arial"/>
          <w:color w:val="1A1A1A"/>
          <w:sz w:val="22"/>
          <w:szCs w:val="22"/>
        </w:rPr>
        <w:t xml:space="preserve">地面层：圆形或椭圆形广场，中央是玻璃与木材结构的入口亭，四周环绕大型乔木（提供遮荫）、长椅休憩区，以及「活跃界面」（Active Frontage）商业单元——咖啡店、便利店、花店。整个广场没有任何停车位或行车道。</w:t>
      </w:r>
    </w:p>
    <w:p>
      <w:pPr>
        <w:spacing w:before="80" w:after="80"/>
      </w:pPr>
      <w:r>
        <w:t xml:space="preserve"/>
      </w:r>
    </w:p>
    <w:p>
      <w:pPr>
        <w:spacing w:before="100" w:after="100"/>
      </w:pPr>
      <w:r>
        <w:rPr>
          <w:rFonts w:ascii="Arial" w:cs="Arial" w:eastAsia="Arial" w:hAnsi="Arial"/>
          <w:color w:val="1A1A1A"/>
          <w:sz w:val="22"/>
          <w:szCs w:val="22"/>
        </w:rPr>
        <w:t xml:space="preserve">地下衔接层：环形地下自动驾驶车辆接送区。车辆沿单向环形路线缓慢行驶，乘客在固定候车岛等候，车辆自动靠近停下，全程由中央系统调度，无需人工指挥，无红绿灯。</w:t>
      </w:r>
    </w:p>
    <w:p>
      <w:pPr>
        <w:spacing w:before="80" w:after="80"/>
      </w:pPr>
      <w:r>
        <w:t xml:space="preserve"/>
      </w:r>
    </w:p>
    <w:p>
      <w:pPr>
        <w:spacing w:before="100" w:after="100"/>
      </w:pPr>
      <w:r>
        <w:rPr>
          <w:rFonts w:ascii="Arial" w:cs="Arial" w:eastAsia="Arial" w:hAnsi="Arial"/>
          <w:color w:val="1A1A1A"/>
          <w:sz w:val="22"/>
          <w:szCs w:val="22"/>
        </w:rPr>
        <w:t xml:space="preserve">垂直连接：智能电梯系统将人员、货物和无人机在三层之间高效传送。建筑地下室直接与交通网络打通，居民无需出地面即可完成换乘。</w:t>
      </w:r>
    </w:p>
    <w:p>
      <w:pPr>
        <w:spacing w:before="80" w:after="80"/>
      </w:pPr>
      <w:r>
        <w:t xml:space="preserve"/>
      </w:r>
    </w:p>
    <w:p>
      <w:pPr>
        <w:spacing w:before="100" w:after="100"/>
      </w:pPr>
      <w:r>
        <w:rPr>
          <w:rFonts w:ascii="Arial" w:cs="Arial" w:eastAsia="Arial" w:hAnsi="Arial"/>
          <w:i/>
          <w:iCs/>
          <w:color w:val="555555"/>
          <w:sz w:val="22"/>
          <w:szCs w:val="22"/>
        </w:rPr>
        <w:t xml:space="preserve">At ground level: a circular plaza with a glass-and-timber portal pavilion, surrounded by mature trees, seating, and active retail frontage. Underground: an autonomous vehicle drop-off loop where self-driving cars pick up passengers at fixed bays, dispatched entirely by the central system. Vertical smart elevators connect all three layers, and buildings connect directly to the underground network — residents never need to surface to access transport.</w:t>
      </w:r>
    </w:p>
    <w:p>
      <w:pPr>
        <w:spacing w:before="80" w:after="80"/>
      </w:pPr>
      <w:r>
        <w:t xml:space="preserve"/>
      </w:r>
    </w:p>
    <w:p>
      <w:pPr>
        <w:pBdr>
          <w:bottom w:val="single" w:color="C8E6C9" w:sz="4" w:space="1"/>
        </w:pBdr>
        <w:spacing w:before="200" w:after="200"/>
      </w:pPr>
      <w:r>
        <w:t xml:space="preserve"/>
      </w:r>
    </w:p>
    <w:p>
      <w:pPr>
        <w:pStyle w:val="Heading1"/>
        <w:pBdr>
          <w:bottom w:val="single" w:color="2E7D32" w:sz="6" w:space="4"/>
        </w:pBdr>
        <w:spacing w:before="400" w:after="200"/>
      </w:pPr>
      <w:r>
        <w:rPr>
          <w:rFonts w:ascii="Arial" w:cs="Arial" w:eastAsia="Arial" w:hAnsi="Arial"/>
          <w:b/>
          <w:bCs/>
          <w:color w:val="2E7D32"/>
          <w:sz w:val="36"/>
          <w:szCs w:val="36"/>
        </w:rPr>
        <w:t xml:space="preserve">六、与现有城市的对比  Comparison with Today's Cities</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CCCCCC" w:sz="1"/>
              <w:left w:val="single" w:color="CCCCCC" w:sz="1"/>
              <w:bottom w:val="single" w:color="CCCCCC" w:sz="1"/>
              <w:right w:val="single" w:color="CCCCCC" w:sz="1"/>
            </w:tcBorders>
            <w:shd w:fill="2E7D32" w:val="clear"/>
            <w:tcMar>
              <w:top w:type="dxa" w:w="100"/>
              <w:left w:type="dxa" w:w="140"/>
              <w:bottom w:type="dxa" w:w="100"/>
              <w:right w:type="dxa" w:w="140"/>
            </w:tcMar>
          </w:tcPr>
          <w:p>
            <w:r>
              <w:rPr>
                <w:rFonts w:ascii="Arial" w:cs="Arial" w:eastAsia="Arial" w:hAnsi="Arial"/>
                <w:b/>
                <w:bCs/>
                <w:color w:val="FFFFFF"/>
                <w:sz w:val="20"/>
                <w:szCs w:val="20"/>
              </w:rPr>
              <w:t xml:space="preserve">对比维度</w:t>
            </w:r>
          </w:p>
        </w:tc>
        <w:tc>
          <w:tcPr>
            <w:tcW w:type="dxa" w:w="3580"/>
            <w:tcBorders>
              <w:top w:val="single" w:color="CCCCCC" w:sz="1"/>
              <w:left w:val="single" w:color="CCCCCC" w:sz="1"/>
              <w:bottom w:val="single" w:color="CCCCCC" w:sz="1"/>
              <w:right w:val="single" w:color="CCCCCC" w:sz="1"/>
            </w:tcBorders>
            <w:shd w:fill="2E7D32" w:val="clear"/>
            <w:tcMar>
              <w:top w:type="dxa" w:w="100"/>
              <w:left w:type="dxa" w:w="140"/>
              <w:bottom w:type="dxa" w:w="100"/>
              <w:right w:type="dxa" w:w="140"/>
            </w:tcMar>
          </w:tcPr>
          <w:p>
            <w:r>
              <w:rPr>
                <w:rFonts w:ascii="Arial" w:cs="Arial" w:eastAsia="Arial" w:hAnsi="Arial"/>
                <w:b/>
                <w:bCs/>
                <w:color w:val="FFFFFF"/>
                <w:sz w:val="20"/>
                <w:szCs w:val="20"/>
              </w:rPr>
              <w:t xml:space="preserve">现有城市</w:t>
            </w:r>
          </w:p>
        </w:tc>
        <w:tc>
          <w:tcPr>
            <w:tcW w:type="dxa" w:w="3580"/>
            <w:tcBorders>
              <w:top w:val="single" w:color="CCCCCC" w:sz="1"/>
              <w:left w:val="single" w:color="CCCCCC" w:sz="1"/>
              <w:bottom w:val="single" w:color="CCCCCC" w:sz="1"/>
              <w:right w:val="single" w:color="CCCCCC" w:sz="1"/>
            </w:tcBorders>
            <w:shd w:fill="2E7D32" w:val="clear"/>
            <w:tcMar>
              <w:top w:type="dxa" w:w="100"/>
              <w:left w:type="dxa" w:w="140"/>
              <w:bottom w:type="dxa" w:w="100"/>
              <w:right w:type="dxa" w:w="140"/>
            </w:tcMar>
          </w:tcPr>
          <w:p>
            <w:r>
              <w:rPr>
                <w:rFonts w:ascii="Arial" w:cs="Arial" w:eastAsia="Arial" w:hAnsi="Arial"/>
                <w:b/>
                <w:bCs/>
                <w:color w:val="FFFFFF"/>
                <w:sz w:val="20"/>
                <w:szCs w:val="20"/>
              </w:rPr>
              <w:t xml:space="preserve">未来城市设想</w:t>
            </w:r>
          </w:p>
        </w:tc>
      </w:tr>
      <w:tr>
        <w:tc>
          <w:tcPr>
            <w:tcW w:type="dxa" w:w="2200"/>
            <w:tcBorders>
              <w:top w:val="single" w:color="CCCCCC" w:sz="1"/>
              <w:left w:val="single" w:color="CCCCCC" w:sz="1"/>
              <w:bottom w:val="single" w:color="CCCCCC" w:sz="1"/>
              <w:right w:val="single" w:color="CCCCCC" w:sz="1"/>
            </w:tcBorders>
            <w:shd w:fill="F9FBF9" w:val="clear"/>
            <w:tcMar>
              <w:top w:type="dxa" w:w="80"/>
              <w:left w:type="dxa" w:w="140"/>
              <w:bottom w:type="dxa" w:w="80"/>
              <w:right w:type="dxa" w:w="140"/>
            </w:tcMar>
          </w:tcPr>
          <w:p>
            <w:r>
              <w:rPr>
                <w:rFonts w:ascii="Arial" w:cs="Arial" w:eastAsia="Arial" w:hAnsi="Arial"/>
                <w:b/>
                <w:bCs/>
                <w:color w:val="1A1A1A"/>
                <w:sz w:val="20"/>
                <w:szCs w:val="20"/>
              </w:rPr>
              <w:t xml:space="preserve">地面交通</w:t>
            </w:r>
          </w:p>
        </w:tc>
        <w:tc>
          <w:tcPr>
            <w:tcW w:type="dxa" w:w="3580"/>
            <w:tcBorders>
              <w:top w:val="single" w:color="CCCCCC" w:sz="1"/>
              <w:left w:val="single" w:color="CCCCCC" w:sz="1"/>
              <w:bottom w:val="single" w:color="CCCCCC" w:sz="1"/>
              <w:right w:val="single" w:color="CCCCCC" w:sz="1"/>
            </w:tcBorders>
            <w:shd w:fill="F9FBF9" w:val="clear"/>
            <w:tcMar>
              <w:top w:type="dxa" w:w="80"/>
              <w:left w:type="dxa" w:w="140"/>
              <w:bottom w:type="dxa" w:w="80"/>
              <w:right w:type="dxa" w:w="140"/>
            </w:tcMar>
          </w:tcPr>
          <w:p>
            <w:r>
              <w:rPr>
                <w:rFonts w:ascii="Arial" w:cs="Arial" w:eastAsia="Arial" w:hAnsi="Arial"/>
                <w:b w:val="false"/>
                <w:bCs w:val="false"/>
                <w:color w:val="1A1A1A"/>
                <w:sz w:val="20"/>
                <w:szCs w:val="20"/>
              </w:rPr>
              <w:t xml:space="preserve">车辆、行人混行，道路切割城市</w:t>
            </w:r>
          </w:p>
        </w:tc>
        <w:tc>
          <w:tcPr>
            <w:tcW w:type="dxa" w:w="3580"/>
            <w:tcBorders>
              <w:top w:val="single" w:color="CCCCCC" w:sz="1"/>
              <w:left w:val="single" w:color="CCCCCC" w:sz="1"/>
              <w:bottom w:val="single" w:color="CCCCCC" w:sz="1"/>
              <w:right w:val="single" w:color="CCCCCC" w:sz="1"/>
            </w:tcBorders>
            <w:shd w:fill="F9FBF9" w:val="clear"/>
            <w:tcMar>
              <w:top w:type="dxa" w:w="80"/>
              <w:left w:type="dxa" w:w="140"/>
              <w:bottom w:type="dxa" w:w="80"/>
              <w:right w:type="dxa" w:w="140"/>
            </w:tcMar>
          </w:tcPr>
          <w:p>
            <w:r>
              <w:rPr>
                <w:rFonts w:ascii="Arial" w:cs="Arial" w:eastAsia="Arial" w:hAnsi="Arial"/>
                <w:b w:val="false"/>
                <w:bCs w:val="false"/>
                <w:color w:val="1A1A1A"/>
                <w:sz w:val="20"/>
                <w:szCs w:val="20"/>
              </w:rPr>
              <w:t xml:space="preserve">道路全部入地，地面完全还给自然</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A1A1A"/>
                <w:sz w:val="20"/>
                <w:szCs w:val="20"/>
              </w:rPr>
              <w:t xml:space="preserve">驾驶方式</w:t>
            </w:r>
          </w:p>
        </w:tc>
        <w:tc>
          <w:tcPr>
            <w:tcW w:type="dxa" w:w="35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人工驾驶为主</w:t>
            </w:r>
          </w:p>
        </w:tc>
        <w:tc>
          <w:tcPr>
            <w:tcW w:type="dxa" w:w="35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全自动驾驶，中央UTM系统统一调度</w:t>
            </w:r>
          </w:p>
        </w:tc>
      </w:tr>
      <w:tr>
        <w:tc>
          <w:tcPr>
            <w:tcW w:type="dxa" w:w="2200"/>
            <w:tcBorders>
              <w:top w:val="single" w:color="CCCCCC" w:sz="1"/>
              <w:left w:val="single" w:color="CCCCCC" w:sz="1"/>
              <w:bottom w:val="single" w:color="CCCCCC" w:sz="1"/>
              <w:right w:val="single" w:color="CCCCCC" w:sz="1"/>
            </w:tcBorders>
            <w:shd w:fill="F9FBF9" w:val="clear"/>
            <w:tcMar>
              <w:top w:type="dxa" w:w="80"/>
              <w:left w:type="dxa" w:w="140"/>
              <w:bottom w:type="dxa" w:w="80"/>
              <w:right w:type="dxa" w:w="140"/>
            </w:tcMar>
          </w:tcPr>
          <w:p>
            <w:r>
              <w:rPr>
                <w:rFonts w:ascii="Arial" w:cs="Arial" w:eastAsia="Arial" w:hAnsi="Arial"/>
                <w:b/>
                <w:bCs/>
                <w:color w:val="1A1A1A"/>
                <w:sz w:val="20"/>
                <w:szCs w:val="20"/>
              </w:rPr>
              <w:t xml:space="preserve">行人安全</w:t>
            </w:r>
          </w:p>
        </w:tc>
        <w:tc>
          <w:tcPr>
            <w:tcW w:type="dxa" w:w="3580"/>
            <w:tcBorders>
              <w:top w:val="single" w:color="CCCCCC" w:sz="1"/>
              <w:left w:val="single" w:color="CCCCCC" w:sz="1"/>
              <w:bottom w:val="single" w:color="CCCCCC" w:sz="1"/>
              <w:right w:val="single" w:color="CCCCCC" w:sz="1"/>
            </w:tcBorders>
            <w:shd w:fill="F9FBF9" w:val="clear"/>
            <w:tcMar>
              <w:top w:type="dxa" w:w="80"/>
              <w:left w:type="dxa" w:w="140"/>
              <w:bottom w:type="dxa" w:w="80"/>
              <w:right w:type="dxa" w:w="140"/>
            </w:tcMar>
          </w:tcPr>
          <w:p>
            <w:r>
              <w:rPr>
                <w:rFonts w:ascii="Arial" w:cs="Arial" w:eastAsia="Arial" w:hAnsi="Arial"/>
                <w:b w:val="false"/>
                <w:bCs w:val="false"/>
                <w:color w:val="1A1A1A"/>
                <w:sz w:val="20"/>
                <w:szCs w:val="20"/>
              </w:rPr>
              <w:t xml:space="preserve">依赖红绿灯与人行道</w:t>
            </w:r>
          </w:p>
        </w:tc>
        <w:tc>
          <w:tcPr>
            <w:tcW w:type="dxa" w:w="3580"/>
            <w:tcBorders>
              <w:top w:val="single" w:color="CCCCCC" w:sz="1"/>
              <w:left w:val="single" w:color="CCCCCC" w:sz="1"/>
              <w:bottom w:val="single" w:color="CCCCCC" w:sz="1"/>
              <w:right w:val="single" w:color="CCCCCC" w:sz="1"/>
            </w:tcBorders>
            <w:shd w:fill="F9FBF9" w:val="clear"/>
            <w:tcMar>
              <w:top w:type="dxa" w:w="80"/>
              <w:left w:type="dxa" w:w="140"/>
              <w:bottom w:type="dxa" w:w="80"/>
              <w:right w:type="dxa" w:w="140"/>
            </w:tcMar>
          </w:tcPr>
          <w:p>
            <w:r>
              <w:rPr>
                <w:rFonts w:ascii="Arial" w:cs="Arial" w:eastAsia="Arial" w:hAnsi="Arial"/>
                <w:b w:val="false"/>
                <w:bCs w:val="false"/>
                <w:color w:val="1A1A1A"/>
                <w:sz w:val="20"/>
                <w:szCs w:val="20"/>
              </w:rPr>
              <w:t xml:space="preserve">人车物理分离，零冲突</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A1A1A"/>
                <w:sz w:val="20"/>
                <w:szCs w:val="20"/>
              </w:rPr>
              <w:t xml:space="preserve">建筑设计</w:t>
            </w:r>
          </w:p>
        </w:tc>
        <w:tc>
          <w:tcPr>
            <w:tcW w:type="dxa" w:w="35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需为停车场、退缩红线预留空间</w:t>
            </w:r>
          </w:p>
        </w:tc>
        <w:tc>
          <w:tcPr>
            <w:tcW w:type="dxa" w:w="35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建筑自由延伸，外墙即生态系统</w:t>
            </w:r>
          </w:p>
        </w:tc>
      </w:tr>
      <w:tr>
        <w:tc>
          <w:tcPr>
            <w:tcW w:type="dxa" w:w="2200"/>
            <w:tcBorders>
              <w:top w:val="single" w:color="CCCCCC" w:sz="1"/>
              <w:left w:val="single" w:color="CCCCCC" w:sz="1"/>
              <w:bottom w:val="single" w:color="CCCCCC" w:sz="1"/>
              <w:right w:val="single" w:color="CCCCCC" w:sz="1"/>
            </w:tcBorders>
            <w:shd w:fill="F9FBF9" w:val="clear"/>
            <w:tcMar>
              <w:top w:type="dxa" w:w="80"/>
              <w:left w:type="dxa" w:w="140"/>
              <w:bottom w:type="dxa" w:w="80"/>
              <w:right w:type="dxa" w:w="140"/>
            </w:tcMar>
          </w:tcPr>
          <w:p>
            <w:r>
              <w:rPr>
                <w:rFonts w:ascii="Arial" w:cs="Arial" w:eastAsia="Arial" w:hAnsi="Arial"/>
                <w:b/>
                <w:bCs/>
                <w:color w:val="1A1A1A"/>
                <w:sz w:val="20"/>
                <w:szCs w:val="20"/>
              </w:rPr>
              <w:t xml:space="preserve">动物与人</w:t>
            </w:r>
          </w:p>
        </w:tc>
        <w:tc>
          <w:tcPr>
            <w:tcW w:type="dxa" w:w="3580"/>
            <w:tcBorders>
              <w:top w:val="single" w:color="CCCCCC" w:sz="1"/>
              <w:left w:val="single" w:color="CCCCCC" w:sz="1"/>
              <w:bottom w:val="single" w:color="CCCCCC" w:sz="1"/>
              <w:right w:val="single" w:color="CCCCCC" w:sz="1"/>
            </w:tcBorders>
            <w:shd w:fill="F9FBF9" w:val="clear"/>
            <w:tcMar>
              <w:top w:type="dxa" w:w="80"/>
              <w:left w:type="dxa" w:w="140"/>
              <w:bottom w:type="dxa" w:w="80"/>
              <w:right w:type="dxa" w:w="140"/>
            </w:tcMar>
          </w:tcPr>
          <w:p>
            <w:r>
              <w:rPr>
                <w:rFonts w:ascii="Arial" w:cs="Arial" w:eastAsia="Arial" w:hAnsi="Arial"/>
                <w:b w:val="false"/>
                <w:bCs w:val="false"/>
                <w:color w:val="1A1A1A"/>
                <w:sz w:val="20"/>
                <w:szCs w:val="20"/>
              </w:rPr>
              <w:t xml:space="preserve">动物被关在动物园</w:t>
            </w:r>
          </w:p>
        </w:tc>
        <w:tc>
          <w:tcPr>
            <w:tcW w:type="dxa" w:w="3580"/>
            <w:tcBorders>
              <w:top w:val="single" w:color="CCCCCC" w:sz="1"/>
              <w:left w:val="single" w:color="CCCCCC" w:sz="1"/>
              <w:bottom w:val="single" w:color="CCCCCC" w:sz="1"/>
              <w:right w:val="single" w:color="CCCCCC" w:sz="1"/>
            </w:tcBorders>
            <w:shd w:fill="F9FBF9" w:val="clear"/>
            <w:tcMar>
              <w:top w:type="dxa" w:w="80"/>
              <w:left w:type="dxa" w:w="140"/>
              <w:bottom w:type="dxa" w:w="80"/>
              <w:right w:type="dxa" w:w="140"/>
            </w:tcMar>
          </w:tcPr>
          <w:p>
            <w:r>
              <w:rPr>
                <w:rFonts w:ascii="Arial" w:cs="Arial" w:eastAsia="Arial" w:hAnsi="Arial"/>
                <w:b w:val="false"/>
                <w:bCs w:val="false"/>
                <w:color w:val="1A1A1A"/>
                <w:sz w:val="20"/>
                <w:szCs w:val="20"/>
              </w:rPr>
              <w:t xml:space="preserve">人走进动物领地，共享城市生态</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A1A1A"/>
                <w:sz w:val="20"/>
                <w:szCs w:val="20"/>
              </w:rPr>
              <w:t xml:space="preserve">城外交通</w:t>
            </w:r>
          </w:p>
        </w:tc>
        <w:tc>
          <w:tcPr>
            <w:tcW w:type="dxa" w:w="35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城内城外均有地面公路</w:t>
            </w:r>
          </w:p>
        </w:tc>
        <w:tc>
          <w:tcPr>
            <w:tcW w:type="dxa" w:w="35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城内地下，城外保留地面高速公路</w:t>
            </w:r>
          </w:p>
        </w:tc>
      </w:tr>
      <w:tr>
        <w:tc>
          <w:tcPr>
            <w:tcW w:type="dxa" w:w="2200"/>
            <w:tcBorders>
              <w:top w:val="single" w:color="CCCCCC" w:sz="1"/>
              <w:left w:val="single" w:color="CCCCCC" w:sz="1"/>
              <w:bottom w:val="single" w:color="CCCCCC" w:sz="1"/>
              <w:right w:val="single" w:color="CCCCCC" w:sz="1"/>
            </w:tcBorders>
            <w:shd w:fill="F9FBF9" w:val="clear"/>
            <w:tcMar>
              <w:top w:type="dxa" w:w="80"/>
              <w:left w:type="dxa" w:w="140"/>
              <w:bottom w:type="dxa" w:w="80"/>
              <w:right w:type="dxa" w:w="140"/>
            </w:tcMar>
          </w:tcPr>
          <w:p>
            <w:r>
              <w:rPr>
                <w:rFonts w:ascii="Arial" w:cs="Arial" w:eastAsia="Arial" w:hAnsi="Arial"/>
                <w:b/>
                <w:bCs/>
                <w:color w:val="1A1A1A"/>
                <w:sz w:val="20"/>
                <w:szCs w:val="20"/>
              </w:rPr>
              <w:t xml:space="preserve">物流配送</w:t>
            </w:r>
          </w:p>
        </w:tc>
        <w:tc>
          <w:tcPr>
            <w:tcW w:type="dxa" w:w="3580"/>
            <w:tcBorders>
              <w:top w:val="single" w:color="CCCCCC" w:sz="1"/>
              <w:left w:val="single" w:color="CCCCCC" w:sz="1"/>
              <w:bottom w:val="single" w:color="CCCCCC" w:sz="1"/>
              <w:right w:val="single" w:color="CCCCCC" w:sz="1"/>
            </w:tcBorders>
            <w:shd w:fill="F9FBF9" w:val="clear"/>
            <w:tcMar>
              <w:top w:type="dxa" w:w="80"/>
              <w:left w:type="dxa" w:w="140"/>
              <w:bottom w:type="dxa" w:w="80"/>
              <w:right w:type="dxa" w:w="140"/>
            </w:tcMar>
          </w:tcPr>
          <w:p>
            <w:r>
              <w:rPr>
                <w:rFonts w:ascii="Arial" w:cs="Arial" w:eastAsia="Arial" w:hAnsi="Arial"/>
                <w:b w:val="false"/>
                <w:bCs w:val="false"/>
                <w:color w:val="1A1A1A"/>
                <w:sz w:val="20"/>
                <w:szCs w:val="20"/>
              </w:rPr>
              <w:t xml:space="preserve">地面车辆送货</w:t>
            </w:r>
          </w:p>
        </w:tc>
        <w:tc>
          <w:tcPr>
            <w:tcW w:type="dxa" w:w="3580"/>
            <w:tcBorders>
              <w:top w:val="single" w:color="CCCCCC" w:sz="1"/>
              <w:left w:val="single" w:color="CCCCCC" w:sz="1"/>
              <w:bottom w:val="single" w:color="CCCCCC" w:sz="1"/>
              <w:right w:val="single" w:color="CCCCCC" w:sz="1"/>
            </w:tcBorders>
            <w:shd w:fill="F9FBF9" w:val="clear"/>
            <w:tcMar>
              <w:top w:type="dxa" w:w="80"/>
              <w:left w:type="dxa" w:w="140"/>
              <w:bottom w:type="dxa" w:w="80"/>
              <w:right w:type="dxa" w:w="140"/>
            </w:tcMar>
          </w:tcPr>
          <w:p>
            <w:r>
              <w:rPr>
                <w:rFonts w:ascii="Arial" w:cs="Arial" w:eastAsia="Arial" w:hAnsi="Arial"/>
                <w:b w:val="false"/>
                <w:bCs w:val="false"/>
                <w:color w:val="1A1A1A"/>
                <w:sz w:val="20"/>
                <w:szCs w:val="20"/>
              </w:rPr>
              <w:t xml:space="preserve">地下无人机廊道 + 空中无人机双轨配送</w:t>
            </w:r>
          </w:p>
        </w:tc>
      </w:tr>
    </w:tbl>
    <w:p>
      <w:pPr>
        <w:spacing w:before="80" w:after="80"/>
      </w:pPr>
      <w:r>
        <w:t xml:space="preserve"/>
      </w:r>
    </w:p>
    <w:p>
      <w:pPr>
        <w:pBdr>
          <w:bottom w:val="single" w:color="C8E6C9" w:sz="4" w:space="1"/>
        </w:pBdr>
        <w:spacing w:before="200" w:after="200"/>
      </w:pPr>
      <w:r>
        <w:t xml:space="preserve"/>
      </w:r>
    </w:p>
    <w:p>
      <w:pPr>
        <w:pStyle w:val="Heading1"/>
        <w:pBdr>
          <w:bottom w:val="single" w:color="2E7D32" w:sz="6" w:space="4"/>
        </w:pBdr>
        <w:spacing w:before="400" w:after="200"/>
      </w:pPr>
      <w:r>
        <w:rPr>
          <w:rFonts w:ascii="Arial" w:cs="Arial" w:eastAsia="Arial" w:hAnsi="Arial"/>
          <w:b/>
          <w:bCs/>
          <w:color w:val="2E7D32"/>
          <w:sz w:val="36"/>
          <w:szCs w:val="36"/>
        </w:rPr>
        <w:t xml:space="preserve">七、现实参考案例  Real-World References</w:t>
      </w:r>
    </w:p>
    <w:p>
      <w:pPr>
        <w:spacing w:before="80" w:after="80"/>
      </w:pPr>
      <w:r>
        <w:t xml:space="preserve"/>
      </w:r>
    </w:p>
    <w:p>
      <w:pPr>
        <w:spacing w:before="100" w:after="100"/>
      </w:pPr>
      <w:r>
        <w:rPr>
          <w:rFonts w:ascii="Arial" w:cs="Arial" w:eastAsia="Arial" w:hAnsi="Arial"/>
          <w:color w:val="1A1A1A"/>
          <w:sz w:val="22"/>
          <w:szCs w:val="22"/>
        </w:rPr>
        <w:t xml:space="preserve">这座未来城市的各个核心模块，均有现实世界的原型或技术验证：</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3560"/>
      </w:tblGrid>
      <w:tr>
        <w:tc>
          <w:tcPr>
            <w:tcW w:type="dxa" w:w="2600"/>
            <w:tcBorders>
              <w:top w:val="single" w:color="CCCCCC" w:sz="1"/>
              <w:left w:val="single" w:color="CCCCCC" w:sz="1"/>
              <w:bottom w:val="single" w:color="CCCCCC" w:sz="1"/>
              <w:right w:val="single" w:color="CCCCCC" w:sz="1"/>
            </w:tcBorders>
            <w:shd w:fill="2E7D32" w:val="clear"/>
            <w:tcMar>
              <w:top w:type="dxa" w:w="80"/>
              <w:left w:type="dxa" w:w="140"/>
              <w:bottom w:type="dxa" w:w="80"/>
              <w:right w:type="dxa" w:w="140"/>
            </w:tcMar>
          </w:tcPr>
          <w:p>
            <w:r>
              <w:rPr>
                <w:rFonts w:ascii="Arial" w:cs="Arial" w:eastAsia="Arial" w:hAnsi="Arial"/>
                <w:b/>
                <w:bCs/>
                <w:color w:val="FFFFFF"/>
                <w:sz w:val="20"/>
                <w:szCs w:val="20"/>
              </w:rPr>
              <w:t xml:space="preserve">设计模块</w:t>
            </w:r>
          </w:p>
        </w:tc>
        <w:tc>
          <w:tcPr>
            <w:tcW w:type="dxa" w:w="3200"/>
            <w:tcBorders>
              <w:top w:val="single" w:color="CCCCCC" w:sz="1"/>
              <w:left w:val="single" w:color="CCCCCC" w:sz="1"/>
              <w:bottom w:val="single" w:color="CCCCCC" w:sz="1"/>
              <w:right w:val="single" w:color="CCCCCC" w:sz="1"/>
            </w:tcBorders>
            <w:shd w:fill="2E7D32" w:val="clear"/>
            <w:tcMar>
              <w:top w:type="dxa" w:w="80"/>
              <w:left w:type="dxa" w:w="140"/>
              <w:bottom w:type="dxa" w:w="80"/>
              <w:right w:type="dxa" w:w="140"/>
            </w:tcMar>
          </w:tcPr>
          <w:p>
            <w:r>
              <w:rPr>
                <w:rFonts w:ascii="Arial" w:cs="Arial" w:eastAsia="Arial" w:hAnsi="Arial"/>
                <w:b/>
                <w:bCs/>
                <w:color w:val="FFFFFF"/>
                <w:sz w:val="20"/>
                <w:szCs w:val="20"/>
              </w:rPr>
              <w:t xml:space="preserve">现实案例</w:t>
            </w:r>
          </w:p>
        </w:tc>
        <w:tc>
          <w:tcPr>
            <w:tcW w:type="dxa" w:w="3560"/>
            <w:tcBorders>
              <w:top w:val="single" w:color="CCCCCC" w:sz="1"/>
              <w:left w:val="single" w:color="CCCCCC" w:sz="1"/>
              <w:bottom w:val="single" w:color="CCCCCC" w:sz="1"/>
              <w:right w:val="single" w:color="CCCCCC" w:sz="1"/>
            </w:tcBorders>
            <w:shd w:fill="2E7D32" w:val="clear"/>
            <w:tcMar>
              <w:top w:type="dxa" w:w="80"/>
              <w:left w:type="dxa" w:w="140"/>
              <w:bottom w:type="dxa" w:w="80"/>
              <w:right w:type="dxa" w:w="140"/>
            </w:tcMar>
          </w:tcPr>
          <w:p>
            <w:r>
              <w:rPr>
                <w:rFonts w:ascii="Arial" w:cs="Arial" w:eastAsia="Arial" w:hAnsi="Arial"/>
                <w:b/>
                <w:bCs/>
                <w:color w:val="FFFFFF"/>
                <w:sz w:val="20"/>
                <w:szCs w:val="20"/>
              </w:rPr>
              <w:t xml:space="preserve">关联说明</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A1A1A"/>
                <w:sz w:val="19"/>
                <w:szCs w:val="19"/>
              </w:rPr>
              <w:t xml:space="preserve">地下高速公路</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19"/>
                <w:szCs w:val="19"/>
              </w:rPr>
              <w:t xml:space="preserve">波士顿大挖掘（Big Dig）</w:t>
            </w:r>
          </w:p>
        </w:tc>
        <w:tc>
          <w:tcPr>
            <w:tcW w:type="dxa" w:w="3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19"/>
                <w:szCs w:val="19"/>
              </w:rPr>
              <w:t xml:space="preserve">耗资146亿美元将高架路改为地下隧道，地面变为17英亩玫瑰肯尼迪绿道公园</w:t>
            </w:r>
          </w:p>
        </w:tc>
      </w:tr>
      <w:tr>
        <w:tc>
          <w:tcPr>
            <w:tcW w:type="dxa" w:w="2600"/>
            <w:tcBorders>
              <w:top w:val="single" w:color="CCCCCC" w:sz="1"/>
              <w:left w:val="single" w:color="CCCCCC" w:sz="1"/>
              <w:bottom w:val="single" w:color="CCCCCC" w:sz="1"/>
              <w:right w:val="single" w:color="CCCCCC" w:sz="1"/>
            </w:tcBorders>
            <w:shd w:fill="F9FBF9" w:val="clear"/>
            <w:tcMar>
              <w:top w:type="dxa" w:w="80"/>
              <w:left w:type="dxa" w:w="140"/>
              <w:bottom w:type="dxa" w:w="80"/>
              <w:right w:type="dxa" w:w="140"/>
            </w:tcMar>
          </w:tcPr>
          <w:p>
            <w:r>
              <w:rPr>
                <w:rFonts w:ascii="Arial" w:cs="Arial" w:eastAsia="Arial" w:hAnsi="Arial"/>
                <w:b/>
                <w:bCs/>
                <w:color w:val="1A1A1A"/>
                <w:sz w:val="19"/>
                <w:szCs w:val="19"/>
              </w:rPr>
              <w:t xml:space="preserve">无车地面层</w:t>
            </w:r>
          </w:p>
        </w:tc>
        <w:tc>
          <w:tcPr>
            <w:tcW w:type="dxa" w:w="3200"/>
            <w:tcBorders>
              <w:top w:val="single" w:color="CCCCCC" w:sz="1"/>
              <w:left w:val="single" w:color="CCCCCC" w:sz="1"/>
              <w:bottom w:val="single" w:color="CCCCCC" w:sz="1"/>
              <w:right w:val="single" w:color="CCCCCC" w:sz="1"/>
            </w:tcBorders>
            <w:shd w:fill="F9FBF9" w:val="clear"/>
            <w:tcMar>
              <w:top w:type="dxa" w:w="80"/>
              <w:left w:type="dxa" w:w="140"/>
              <w:bottom w:type="dxa" w:w="80"/>
              <w:right w:type="dxa" w:w="140"/>
            </w:tcMar>
          </w:tcPr>
          <w:p>
            <w:r>
              <w:rPr>
                <w:rFonts w:ascii="Arial" w:cs="Arial" w:eastAsia="Arial" w:hAnsi="Arial"/>
                <w:b w:val="false"/>
                <w:bCs w:val="false"/>
                <w:color w:val="1A1A1A"/>
                <w:sz w:val="19"/>
                <w:szCs w:val="19"/>
              </w:rPr>
              <w:t xml:space="preserve">新加坡登加镇（Tengah）</w:t>
            </w:r>
          </w:p>
        </w:tc>
        <w:tc>
          <w:tcPr>
            <w:tcW w:type="dxa" w:w="3560"/>
            <w:tcBorders>
              <w:top w:val="single" w:color="CCCCCC" w:sz="1"/>
              <w:left w:val="single" w:color="CCCCCC" w:sz="1"/>
              <w:bottom w:val="single" w:color="CCCCCC" w:sz="1"/>
              <w:right w:val="single" w:color="CCCCCC" w:sz="1"/>
            </w:tcBorders>
            <w:shd w:fill="F9FBF9" w:val="clear"/>
            <w:tcMar>
              <w:top w:type="dxa" w:w="80"/>
              <w:left w:type="dxa" w:w="140"/>
              <w:bottom w:type="dxa" w:w="80"/>
              <w:right w:type="dxa" w:w="140"/>
            </w:tcMar>
          </w:tcPr>
          <w:p>
            <w:r>
              <w:rPr>
                <w:rFonts w:ascii="Arial" w:cs="Arial" w:eastAsia="Arial" w:hAnsi="Arial"/>
                <w:b w:val="false"/>
                <w:bCs w:val="false"/>
                <w:color w:val="1A1A1A"/>
                <w:sz w:val="19"/>
                <w:szCs w:val="19"/>
              </w:rPr>
              <w:t xml:space="preserve">新加坡首个无车镇中心，道路全部移至地下，地面还给行人</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A1A1A"/>
                <w:sz w:val="19"/>
                <w:szCs w:val="19"/>
              </w:rPr>
              <w:t xml:space="preserve">城市空中交通</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19"/>
                <w:szCs w:val="19"/>
              </w:rPr>
              <w:t xml:space="preserve">中国低空经济战略</w:t>
            </w:r>
          </w:p>
        </w:tc>
        <w:tc>
          <w:tcPr>
            <w:tcW w:type="dxa" w:w="3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19"/>
                <w:szCs w:val="19"/>
              </w:rPr>
              <w:t xml:space="preserve">2024年写入政府工作报告，预计2035年市场规模3.5万亿元</w:t>
            </w:r>
          </w:p>
        </w:tc>
      </w:tr>
      <w:tr>
        <w:tc>
          <w:tcPr>
            <w:tcW w:type="dxa" w:w="2600"/>
            <w:tcBorders>
              <w:top w:val="single" w:color="CCCCCC" w:sz="1"/>
              <w:left w:val="single" w:color="CCCCCC" w:sz="1"/>
              <w:bottom w:val="single" w:color="CCCCCC" w:sz="1"/>
              <w:right w:val="single" w:color="CCCCCC" w:sz="1"/>
            </w:tcBorders>
            <w:shd w:fill="F9FBF9" w:val="clear"/>
            <w:tcMar>
              <w:top w:type="dxa" w:w="80"/>
              <w:left w:type="dxa" w:w="140"/>
              <w:bottom w:type="dxa" w:w="80"/>
              <w:right w:type="dxa" w:w="140"/>
            </w:tcMar>
          </w:tcPr>
          <w:p>
            <w:r>
              <w:rPr>
                <w:rFonts w:ascii="Arial" w:cs="Arial" w:eastAsia="Arial" w:hAnsi="Arial"/>
                <w:b/>
                <w:bCs/>
                <w:color w:val="1A1A1A"/>
                <w:sz w:val="19"/>
                <w:szCs w:val="19"/>
              </w:rPr>
              <w:t xml:space="preserve">UTM无人机管理</w:t>
            </w:r>
          </w:p>
        </w:tc>
        <w:tc>
          <w:tcPr>
            <w:tcW w:type="dxa" w:w="3200"/>
            <w:tcBorders>
              <w:top w:val="single" w:color="CCCCCC" w:sz="1"/>
              <w:left w:val="single" w:color="CCCCCC" w:sz="1"/>
              <w:bottom w:val="single" w:color="CCCCCC" w:sz="1"/>
              <w:right w:val="single" w:color="CCCCCC" w:sz="1"/>
            </w:tcBorders>
            <w:shd w:fill="F9FBF9" w:val="clear"/>
            <w:tcMar>
              <w:top w:type="dxa" w:w="80"/>
              <w:left w:type="dxa" w:w="140"/>
              <w:bottom w:type="dxa" w:w="80"/>
              <w:right w:type="dxa" w:w="140"/>
            </w:tcMar>
          </w:tcPr>
          <w:p>
            <w:r>
              <w:rPr>
                <w:rFonts w:ascii="Arial" w:cs="Arial" w:eastAsia="Arial" w:hAnsi="Arial"/>
                <w:b w:val="false"/>
                <w:bCs w:val="false"/>
                <w:color w:val="1A1A1A"/>
                <w:sz w:val="19"/>
                <w:szCs w:val="19"/>
              </w:rPr>
              <w:t xml:space="preserve">NASA UTM项目</w:t>
            </w:r>
          </w:p>
        </w:tc>
        <w:tc>
          <w:tcPr>
            <w:tcW w:type="dxa" w:w="3560"/>
            <w:tcBorders>
              <w:top w:val="single" w:color="CCCCCC" w:sz="1"/>
              <w:left w:val="single" w:color="CCCCCC" w:sz="1"/>
              <w:bottom w:val="single" w:color="CCCCCC" w:sz="1"/>
              <w:right w:val="single" w:color="CCCCCC" w:sz="1"/>
            </w:tcBorders>
            <w:shd w:fill="F9FBF9" w:val="clear"/>
            <w:tcMar>
              <w:top w:type="dxa" w:w="80"/>
              <w:left w:type="dxa" w:w="140"/>
              <w:bottom w:type="dxa" w:w="80"/>
              <w:right w:type="dxa" w:w="140"/>
            </w:tcMar>
          </w:tcPr>
          <w:p>
            <w:r>
              <w:rPr>
                <w:rFonts w:ascii="Arial" w:cs="Arial" w:eastAsia="Arial" w:hAnsi="Arial"/>
                <w:b w:val="false"/>
                <w:bCs w:val="false"/>
                <w:color w:val="1A1A1A"/>
                <w:sz w:val="19"/>
                <w:szCs w:val="19"/>
              </w:rPr>
              <w:t xml:space="preserve">实时统一调度城市空域所有无人飞行器，防止碰撞</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A1A1A"/>
                <w:sz w:val="19"/>
                <w:szCs w:val="19"/>
              </w:rPr>
              <w:t xml:space="preserve">建筑即栖息地</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19"/>
                <w:szCs w:val="19"/>
              </w:rPr>
              <w:t xml:space="preserve">米兰垂直森林（Bosco Verticale）</w:t>
            </w:r>
          </w:p>
        </w:tc>
        <w:tc>
          <w:tcPr>
            <w:tcW w:type="dxa" w:w="3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19"/>
                <w:szCs w:val="19"/>
              </w:rPr>
              <w:t xml:space="preserve">建筑外墙覆盖2万株植物，成为城市生态系统的一部分</w:t>
            </w:r>
          </w:p>
        </w:tc>
      </w:tr>
      <w:tr>
        <w:tc>
          <w:tcPr>
            <w:tcW w:type="dxa" w:w="2600"/>
            <w:tcBorders>
              <w:top w:val="single" w:color="CCCCCC" w:sz="1"/>
              <w:left w:val="single" w:color="CCCCCC" w:sz="1"/>
              <w:bottom w:val="single" w:color="CCCCCC" w:sz="1"/>
              <w:right w:val="single" w:color="CCCCCC" w:sz="1"/>
            </w:tcBorders>
            <w:shd w:fill="F9FBF9" w:val="clear"/>
            <w:tcMar>
              <w:top w:type="dxa" w:w="80"/>
              <w:left w:type="dxa" w:w="140"/>
              <w:bottom w:type="dxa" w:w="80"/>
              <w:right w:type="dxa" w:w="140"/>
            </w:tcMar>
          </w:tcPr>
          <w:p>
            <w:r>
              <w:rPr>
                <w:rFonts w:ascii="Arial" w:cs="Arial" w:eastAsia="Arial" w:hAnsi="Arial"/>
                <w:b/>
                <w:bCs/>
                <w:color w:val="1A1A1A"/>
                <w:sz w:val="19"/>
                <w:szCs w:val="19"/>
              </w:rPr>
              <w:t xml:space="preserve">开放式动物共存</w:t>
            </w:r>
          </w:p>
        </w:tc>
        <w:tc>
          <w:tcPr>
            <w:tcW w:type="dxa" w:w="3200"/>
            <w:tcBorders>
              <w:top w:val="single" w:color="CCCCCC" w:sz="1"/>
              <w:left w:val="single" w:color="CCCCCC" w:sz="1"/>
              <w:bottom w:val="single" w:color="CCCCCC" w:sz="1"/>
              <w:right w:val="single" w:color="CCCCCC" w:sz="1"/>
            </w:tcBorders>
            <w:shd w:fill="F9FBF9" w:val="clear"/>
            <w:tcMar>
              <w:top w:type="dxa" w:w="80"/>
              <w:left w:type="dxa" w:w="140"/>
              <w:bottom w:type="dxa" w:w="80"/>
              <w:right w:type="dxa" w:w="140"/>
            </w:tcMar>
          </w:tcPr>
          <w:p>
            <w:r>
              <w:rPr>
                <w:rFonts w:ascii="Arial" w:cs="Arial" w:eastAsia="Arial" w:hAnsi="Arial"/>
                <w:b w:val="false"/>
                <w:bCs w:val="false"/>
                <w:color w:val="1A1A1A"/>
                <w:sz w:val="19"/>
                <w:szCs w:val="19"/>
              </w:rPr>
              <w:t xml:space="preserve">南京红山森林动物园</w:t>
            </w:r>
          </w:p>
        </w:tc>
        <w:tc>
          <w:tcPr>
            <w:tcW w:type="dxa" w:w="3560"/>
            <w:tcBorders>
              <w:top w:val="single" w:color="CCCCCC" w:sz="1"/>
              <w:left w:val="single" w:color="CCCCCC" w:sz="1"/>
              <w:bottom w:val="single" w:color="CCCCCC" w:sz="1"/>
              <w:right w:val="single" w:color="CCCCCC" w:sz="1"/>
            </w:tcBorders>
            <w:shd w:fill="F9FBF9" w:val="clear"/>
            <w:tcMar>
              <w:top w:type="dxa" w:w="80"/>
              <w:left w:type="dxa" w:w="140"/>
              <w:bottom w:type="dxa" w:w="80"/>
              <w:right w:type="dxa" w:w="140"/>
            </w:tcMar>
          </w:tcPr>
          <w:p>
            <w:r>
              <w:rPr>
                <w:rFonts w:ascii="Arial" w:cs="Arial" w:eastAsia="Arial" w:hAnsi="Arial"/>
                <w:b w:val="false"/>
                <w:bCs w:val="false"/>
                <w:color w:val="1A1A1A"/>
                <w:sz w:val="19"/>
                <w:szCs w:val="19"/>
              </w:rPr>
              <w:t xml:space="preserve">「动物是主人，游客是客人」，绿化覆盖率85%，停止动物表演</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A1A1A"/>
                <w:sz w:val="19"/>
                <w:szCs w:val="19"/>
              </w:rPr>
              <w:t xml:space="preserve">地下城市规划</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19"/>
                <w:szCs w:val="19"/>
              </w:rPr>
              <w:t xml:space="preserve">新加坡地下总体规划</w:t>
            </w:r>
          </w:p>
        </w:tc>
        <w:tc>
          <w:tcPr>
            <w:tcW w:type="dxa" w:w="3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19"/>
                <w:szCs w:val="19"/>
              </w:rPr>
              <w:t xml:space="preserve">法律规定深层地下空间归政府，系统性向地下要空间</w:t>
            </w:r>
          </w:p>
        </w:tc>
      </w:tr>
    </w:tbl>
    <w:p>
      <w:pPr>
        <w:spacing w:before="80" w:after="80"/>
      </w:pPr>
      <w:r>
        <w:t xml:space="preserve"/>
      </w:r>
    </w:p>
    <w:p>
      <w:pPr>
        <w:pBdr>
          <w:bottom w:val="single" w:color="C8E6C9" w:sz="4" w:space="1"/>
        </w:pBdr>
        <w:spacing w:before="200" w:after="200"/>
      </w:pPr>
      <w:r>
        <w:t xml:space="preserve"/>
      </w:r>
    </w:p>
    <w:p>
      <w:pPr>
        <w:pStyle w:val="Heading1"/>
        <w:pBdr>
          <w:bottom w:val="single" w:color="2E7D32" w:sz="6" w:space="4"/>
        </w:pBdr>
        <w:spacing w:before="400" w:after="200"/>
      </w:pPr>
      <w:r>
        <w:rPr>
          <w:rFonts w:ascii="Arial" w:cs="Arial" w:eastAsia="Arial" w:hAnsi="Arial"/>
          <w:b/>
          <w:bCs/>
          <w:color w:val="2E7D32"/>
          <w:sz w:val="36"/>
          <w:szCs w:val="36"/>
        </w:rPr>
        <w:t xml:space="preserve">八、关键挑战与应对思路  Key Challenges</w:t>
      </w:r>
    </w:p>
    <w:p>
      <w:pPr>
        <w:spacing w:before="80" w:after="80"/>
      </w:pPr>
      <w:r>
        <w:t xml:space="preserve"/>
      </w:r>
    </w:p>
    <w:p>
      <w:pPr>
        <w:spacing w:before="240" w:after="120"/>
      </w:pPr>
      <w:r>
        <w:rPr>
          <w:rFonts w:ascii="Arial" w:cs="Arial" w:eastAsia="Arial" w:hAnsi="Arial"/>
          <w:b/>
          <w:bCs/>
          <w:color w:val="388E3C"/>
          <w:sz w:val="24"/>
          <w:szCs w:val="24"/>
        </w:rPr>
        <w:t xml:space="preserve">挑战一：网络安全风险  Cybersecurity</w:t>
      </w:r>
    </w:p>
    <w:p>
      <w:pPr>
        <w:spacing w:before="100" w:after="100"/>
      </w:pPr>
      <w:r>
        <w:rPr>
          <w:rFonts w:ascii="Arial" w:cs="Arial" w:eastAsia="Arial" w:hAnsi="Arial"/>
          <w:color w:val="1A1A1A"/>
          <w:sz w:val="22"/>
          <w:szCs w:val="22"/>
        </w:rPr>
        <w:t xml:space="preserve">中央控制系统一旦遭到黑客攻击或发生故障，将影响全城所有交通工具。应对思路：建立去中心化的分布式备用控制节点，每个区域具备独立运行能力；关键系统采用物理隔离的专用网络而非公共互联网。</w:t>
      </w:r>
    </w:p>
    <w:p>
      <w:pPr>
        <w:spacing w:before="80" w:after="80"/>
      </w:pPr>
      <w:r>
        <w:t xml:space="preserve"/>
      </w:r>
    </w:p>
    <w:p>
      <w:pPr>
        <w:spacing w:before="240" w:after="120"/>
      </w:pPr>
      <w:r>
        <w:rPr>
          <w:rFonts w:ascii="Arial" w:cs="Arial" w:eastAsia="Arial" w:hAnsi="Arial"/>
          <w:b/>
          <w:bCs/>
          <w:color w:val="388E3C"/>
          <w:sz w:val="24"/>
          <w:szCs w:val="24"/>
        </w:rPr>
        <w:t xml:space="preserve">挑战二：卫生与疾病风险  Public Health</w:t>
      </w:r>
    </w:p>
    <w:p>
      <w:pPr>
        <w:spacing w:before="100" w:after="100"/>
      </w:pPr>
      <w:r>
        <w:rPr>
          <w:rFonts w:ascii="Arial" w:cs="Arial" w:eastAsia="Arial" w:hAnsi="Arial"/>
          <w:color w:val="1A1A1A"/>
          <w:sz w:val="22"/>
          <w:szCs w:val="22"/>
        </w:rPr>
        <w:t xml:space="preserve">动物与人高度混居存在疫病传播风险。应对思路：建立城市生态健康实时监测系统，对动物种群健康状态进行持续追踪；通过「隐形边界」设计将高风险动物与高密度人类活动区自然隔离。</w:t>
      </w:r>
    </w:p>
    <w:p>
      <w:pPr>
        <w:spacing w:before="80" w:after="80"/>
      </w:pPr>
      <w:r>
        <w:t xml:space="preserve"/>
      </w:r>
    </w:p>
    <w:p>
      <w:pPr>
        <w:spacing w:before="240" w:after="120"/>
      </w:pPr>
      <w:r>
        <w:rPr>
          <w:rFonts w:ascii="Arial" w:cs="Arial" w:eastAsia="Arial" w:hAnsi="Arial"/>
          <w:b/>
          <w:bCs/>
          <w:color w:val="388E3C"/>
          <w:sz w:val="24"/>
          <w:szCs w:val="24"/>
        </w:rPr>
        <w:t xml:space="preserve">挑战三：建设成本与过渡路径  Cost &amp; Transition</w:t>
      </w:r>
    </w:p>
    <w:p>
      <w:pPr>
        <w:spacing w:before="100" w:after="100"/>
      </w:pPr>
      <w:r>
        <w:rPr>
          <w:rFonts w:ascii="Arial" w:cs="Arial" w:eastAsia="Arial" w:hAnsi="Arial"/>
          <w:color w:val="1A1A1A"/>
          <w:sz w:val="22"/>
          <w:szCs w:val="22"/>
        </w:rPr>
        <w:t xml:space="preserve">波士顿大挖掘的教训表明，此类工程极易出现严重超支（实际成本为预算的4倍以上）。应对思路：新城从零规划时推行最为可行；对现有城市，可采用「渐进式地下化」策略，逐步将核心区域道路迁入地下，分阶段释放地面空间。</w:t>
      </w:r>
    </w:p>
    <w:p>
      <w:pPr>
        <w:spacing w:before="80" w:after="80"/>
      </w:pPr>
      <w:r>
        <w:t xml:space="preserve"/>
      </w:r>
    </w:p>
    <w:p>
      <w:pPr>
        <w:spacing w:before="240" w:after="120"/>
      </w:pPr>
      <w:r>
        <w:rPr>
          <w:rFonts w:ascii="Arial" w:cs="Arial" w:eastAsia="Arial" w:hAnsi="Arial"/>
          <w:b/>
          <w:bCs/>
          <w:color w:val="388E3C"/>
          <w:sz w:val="24"/>
          <w:szCs w:val="24"/>
        </w:rPr>
        <w:t xml:space="preserve">挑战四：动物种类的选择  Species Selection</w:t>
      </w:r>
    </w:p>
    <w:p>
      <w:pPr>
        <w:spacing w:before="100" w:after="100"/>
      </w:pPr>
      <w:r>
        <w:rPr>
          <w:rFonts w:ascii="Arial" w:cs="Arial" w:eastAsia="Arial" w:hAnsi="Arial"/>
          <w:color w:val="1A1A1A"/>
          <w:sz w:val="22"/>
          <w:szCs w:val="22"/>
        </w:rPr>
        <w:t xml:space="preserve">开放式共存只适合特定物种。实际可行的方向是：以鸟类、小型哺乳动物、爬行类和昆虫为主要共存物种；大型捕食性动物划入深度野生区，与人类活动区保持足够的自然距离缓冲。</w:t>
      </w:r>
    </w:p>
    <w:p>
      <w:pPr>
        <w:spacing w:before="80" w:after="80"/>
      </w:pPr>
      <w:r>
        <w:t xml:space="preserve"/>
      </w:r>
    </w:p>
    <w:p>
      <w:pPr>
        <w:pBdr>
          <w:bottom w:val="single" w:color="C8E6C9" w:sz="4" w:space="1"/>
        </w:pBdr>
        <w:spacing w:before="200" w:after="200"/>
      </w:pPr>
      <w:r>
        <w:t xml:space="preserve"/>
      </w:r>
    </w:p>
    <w:p>
      <w:pPr>
        <w:pStyle w:val="Heading1"/>
        <w:pBdr>
          <w:bottom w:val="single" w:color="2E7D32" w:sz="6" w:space="4"/>
        </w:pBdr>
        <w:spacing w:before="400" w:after="200"/>
      </w:pPr>
      <w:r>
        <w:rPr>
          <w:rFonts w:ascii="Arial" w:cs="Arial" w:eastAsia="Arial" w:hAnsi="Arial"/>
          <w:b/>
          <w:bCs/>
          <w:color w:val="2E7D32"/>
          <w:sz w:val="36"/>
          <w:szCs w:val="36"/>
        </w:rPr>
        <w:t xml:space="preserve">九、结语  Closing Vision</w:t>
      </w:r>
    </w:p>
    <w:p>
      <w:pPr>
        <w:spacing w:before="80" w:after="80"/>
      </w:pPr>
      <w:r>
        <w:t xml:space="preserve"/>
      </w:r>
    </w:p>
    <w:p>
      <w:pPr>
        <w:pBdr>
          <w:top w:val="single" w:color="2E7D32" w:sz="4" w:space="4"/>
          <w:bottom w:val="single" w:color="2E7D32" w:sz="4" w:space="4"/>
          <w:left w:val="single" w:color="2E7D32" w:sz="4" w:space="4"/>
          <w:right w:val="single" w:color="2E7D32" w:sz="4" w:space="4"/>
        </w:pBdr>
        <w:shd w:fill="E8F5E9" w:val="clear"/>
        <w:spacing w:before="160" w:after="160"/>
      </w:pPr>
      <w:r>
        <w:rPr>
          <w:rFonts w:ascii="Arial" w:cs="Arial" w:eastAsia="Arial" w:hAnsi="Arial"/>
          <w:b/>
          <w:bCs/>
          <w:color w:val="2E7D32"/>
          <w:sz w:val="23"/>
          <w:szCs w:val="23"/>
        </w:rPr>
        <w:t xml:space="preserve">  这不是一座「更高效的城市」，而是一座「更真实的城市」——一座承认人类只是地球众多物种之一的城市，一座把这个承认落实进每一块砖、每一棵树、每一条地下隧道的城市。</w:t>
      </w:r>
    </w:p>
    <w:p>
      <w:pPr>
        <w:spacing w:before="80" w:after="80"/>
      </w:pPr>
      <w:r>
        <w:t xml:space="preserve"/>
      </w:r>
    </w:p>
    <w:p>
      <w:pPr>
        <w:spacing w:before="100" w:after="200"/>
      </w:pPr>
      <w:r>
        <w:rPr>
          <w:rFonts w:ascii="Arial" w:cs="Arial" w:eastAsia="Arial" w:hAnsi="Arial"/>
          <w:i/>
          <w:iCs/>
          <w:color w:val="555555"/>
          <w:sz w:val="21"/>
          <w:szCs w:val="21"/>
        </w:rPr>
        <w:t xml:space="preserve">  This is not a 'more efficient city' — it is a 'more honest city.' A city that acknowledges humans as one species among many, and encodes that acknowledgement into every brick, every tree, every underground tunnel.</w:t>
      </w:r>
    </w:p>
    <w:p>
      <w:pPr>
        <w:spacing w:before="80" w:after="80"/>
      </w:pPr>
      <w:r>
        <w:t xml:space="preserve"/>
      </w:r>
    </w:p>
    <w:p>
      <w:pPr>
        <w:spacing w:before="400" w:after="0"/>
        <w:jc w:val="right"/>
      </w:pPr>
      <w:r>
        <w:rPr>
          <w:rFonts w:ascii="Arial" w:cs="Arial" w:eastAsia="Arial" w:hAnsi="Arial"/>
          <w:color w:val="999999"/>
          <w:sz w:val="18"/>
          <w:szCs w:val="18"/>
        </w:rPr>
        <w:t xml:space="preserve">概念草稿  Concept Draft  ·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2E7D32"/>
      <w:sz w:val="36"/>
      <w:szCs w:val="36"/>
    </w:rPr>
  </w:style>
  <w:style w:type="paragraph" w:styleId="Heading2">
    <w:name w:val="Heading 2"/>
    <w:basedOn w:val="Normal"/>
    <w:next w:val="Normal"/>
    <w:qFormat/>
    <w:pPr>
      <w:spacing w:before="320" w:after="160"/>
      <w:outlineLvl w:val="1"/>
    </w:pPr>
    <w:rPr>
      <w:rFonts w:ascii="Arial" w:cs="Arial" w:eastAsia="Arial" w:hAnsi="Arial"/>
      <w:b/>
      <w:bCs/>
      <w:color w:val="1B5E20"/>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2026-02-19T23:17:43.668Z</dcterms:created>
  <dcterms:modified xsi:type="dcterms:W3CDTF">2026-02-19T23:17:43.669Z</dcterms:modified>
</cp:coreProperties>
</file>

<file path=docProps/custom.xml><?xml version="1.0" encoding="utf-8"?>
<Properties xmlns="http://schemas.openxmlformats.org/officeDocument/2006/custom-properties" xmlns:vt="http://schemas.openxmlformats.org/officeDocument/2006/docPropsVTypes"/>
</file>