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65" w:rsidRPr="00576865" w:rsidRDefault="00576865" w:rsidP="00576865">
      <w:pPr>
        <w:numPr>
          <w:ilvl w:val="0"/>
          <w:numId w:val="1"/>
        </w:numPr>
        <w:spacing w:before="240" w:after="0" w:line="276" w:lineRule="auto"/>
        <w:contextualSpacing/>
        <w:rPr>
          <w:rFonts w:ascii="Cambria" w:eastAsia="Calibri" w:hAnsi="Cambria" w:cs="Times New Roman"/>
          <w:b/>
          <w:sz w:val="24"/>
        </w:rPr>
      </w:pPr>
      <w:r w:rsidRPr="00576865">
        <w:rPr>
          <w:rFonts w:ascii="Cambria" w:eastAsia="Calibri" w:hAnsi="Cambria" w:cs="Times New Roman"/>
          <w:b/>
          <w:sz w:val="24"/>
        </w:rPr>
        <w:t>Cas d’utilisation « Notifier un agent de la réponse à sa demande »</w:t>
      </w:r>
    </w:p>
    <w:tbl>
      <w:tblPr>
        <w:tblStyle w:val="Grilledutableau"/>
        <w:tblW w:w="0" w:type="auto"/>
        <w:tblLook w:val="04A0" w:firstRow="1" w:lastRow="0" w:firstColumn="1" w:lastColumn="0" w:noHBand="0" w:noVBand="1"/>
      </w:tblPr>
      <w:tblGrid>
        <w:gridCol w:w="2755"/>
        <w:gridCol w:w="6261"/>
      </w:tblGrid>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12</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Nom du cas d’utilisation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Notifier un agent de la réponse à sa demande </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Acteur(s)</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p>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Description</w:t>
            </w:r>
          </w:p>
        </w:tc>
        <w:tc>
          <w:tcPr>
            <w:tcW w:w="6410" w:type="dxa"/>
          </w:tcPr>
          <w:p w:rsidR="00576865" w:rsidRPr="00576865" w:rsidRDefault="00576865" w:rsidP="00576865">
            <w:pPr>
              <w:jc w:val="both"/>
              <w:rPr>
                <w:rFonts w:ascii="Cambria" w:eastAsia="Calibri" w:hAnsi="Cambria" w:cs="Times New Roman"/>
                <w:sz w:val="24"/>
              </w:rPr>
            </w:pPr>
            <w:r w:rsidRPr="00576865">
              <w:rPr>
                <w:rFonts w:ascii="Cambria" w:eastAsia="Calibri" w:hAnsi="Cambria" w:cs="Times New Roman"/>
                <w:sz w:val="24"/>
              </w:rPr>
              <w:t>Le CSMGP notifie l’agent de la réponse du DMP en y joignant le cas échéant l’acte administratif correspondant.</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Précondition</w:t>
            </w:r>
          </w:p>
        </w:tc>
        <w:tc>
          <w:tcPr>
            <w:tcW w:w="6410" w:type="dxa"/>
          </w:tcPr>
          <w:p w:rsidR="00576865" w:rsidRPr="00576865" w:rsidRDefault="00576865" w:rsidP="00576865">
            <w:pPr>
              <w:numPr>
                <w:ilvl w:val="0"/>
                <w:numId w:val="2"/>
              </w:numPr>
              <w:contextualSpacing/>
              <w:rPr>
                <w:rFonts w:ascii="Cambria" w:eastAsia="Calibri" w:hAnsi="Cambria" w:cs="Times New Roman"/>
                <w:sz w:val="24"/>
              </w:rPr>
            </w:pPr>
            <w:r w:rsidRPr="00576865">
              <w:rPr>
                <w:rFonts w:ascii="Cambria" w:eastAsia="Calibri" w:hAnsi="Cambria" w:cs="Times New Roman"/>
                <w:sz w:val="24"/>
              </w:rPr>
              <w:t>Le CSMGP doit être authentifié en tant que CSMGP.</w:t>
            </w:r>
          </w:p>
          <w:p w:rsidR="00576865" w:rsidRPr="00576865" w:rsidRDefault="00576865" w:rsidP="00576865">
            <w:pPr>
              <w:numPr>
                <w:ilvl w:val="0"/>
                <w:numId w:val="2"/>
              </w:numPr>
              <w:contextualSpacing/>
              <w:rPr>
                <w:rFonts w:ascii="Cambria" w:eastAsia="Calibri" w:hAnsi="Cambria" w:cs="Times New Roman"/>
                <w:sz w:val="24"/>
              </w:rPr>
            </w:pPr>
            <w:r w:rsidRPr="00576865">
              <w:rPr>
                <w:rFonts w:ascii="Cambria" w:eastAsia="Calibri" w:hAnsi="Cambria" w:cs="Times New Roman"/>
                <w:sz w:val="24"/>
              </w:rPr>
              <w:t>La demande faisant objet de transmission au DMP doit avoir préalablement été validée par le responsable de l’agent demandeur.</w:t>
            </w:r>
          </w:p>
          <w:p w:rsidR="00576865" w:rsidRPr="00576865" w:rsidRDefault="00576865" w:rsidP="00576865">
            <w:pPr>
              <w:numPr>
                <w:ilvl w:val="0"/>
                <w:numId w:val="2"/>
              </w:numPr>
              <w:contextualSpacing/>
              <w:rPr>
                <w:rFonts w:ascii="Cambria" w:eastAsia="Calibri" w:hAnsi="Cambria" w:cs="Times New Roman"/>
                <w:sz w:val="24"/>
              </w:rPr>
            </w:pPr>
            <w:r w:rsidRPr="00576865">
              <w:rPr>
                <w:rFonts w:ascii="Cambria" w:eastAsia="Calibri" w:hAnsi="Cambria" w:cs="Times New Roman"/>
                <w:sz w:val="24"/>
              </w:rPr>
              <w:t>La notification doit correspondre à une demande préalablement transmise au DMP.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Démarrage</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Clique sur le lien « Notifier l’agent de la réponse »</w:t>
            </w:r>
          </w:p>
        </w:tc>
      </w:tr>
    </w:tbl>
    <w:p w:rsidR="00576865" w:rsidRPr="00576865" w:rsidRDefault="00576865" w:rsidP="00576865">
      <w:pPr>
        <w:numPr>
          <w:ilvl w:val="0"/>
          <w:numId w:val="1"/>
        </w:numPr>
        <w:spacing w:before="240" w:after="0" w:line="276" w:lineRule="auto"/>
        <w:contextualSpacing/>
        <w:rPr>
          <w:rFonts w:ascii="Cambria" w:eastAsia="Calibri" w:hAnsi="Cambria" w:cs="Times New Roman"/>
          <w:b/>
          <w:sz w:val="24"/>
        </w:rPr>
      </w:pPr>
      <w:r w:rsidRPr="00576865">
        <w:rPr>
          <w:rFonts w:ascii="Cambria" w:eastAsia="Calibri" w:hAnsi="Cambria" w:cs="Times New Roman"/>
          <w:b/>
          <w:sz w:val="24"/>
        </w:rPr>
        <w:t>Cas d’utilisation « Consulter la liste des autorisations d’absence »</w:t>
      </w:r>
    </w:p>
    <w:tbl>
      <w:tblPr>
        <w:tblStyle w:val="Grilledutableau"/>
        <w:tblW w:w="0" w:type="auto"/>
        <w:tblLook w:val="04A0" w:firstRow="1" w:lastRow="0" w:firstColumn="1" w:lastColumn="0" w:noHBand="0" w:noVBand="1"/>
      </w:tblPr>
      <w:tblGrid>
        <w:gridCol w:w="2762"/>
        <w:gridCol w:w="6254"/>
      </w:tblGrid>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13</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Nom du cas d’utilisation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Consulter la liste des autorisations d’absence </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Acteur(s)</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Responsable (CSR, SD, DR,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p>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Description</w:t>
            </w:r>
          </w:p>
        </w:tc>
        <w:tc>
          <w:tcPr>
            <w:tcW w:w="6410" w:type="dxa"/>
          </w:tcPr>
          <w:p w:rsidR="00576865" w:rsidRPr="00576865" w:rsidRDefault="00576865" w:rsidP="00576865">
            <w:pPr>
              <w:jc w:val="both"/>
              <w:rPr>
                <w:rFonts w:ascii="Cambria" w:eastAsia="Calibri" w:hAnsi="Cambria" w:cs="Times New Roman"/>
                <w:sz w:val="24"/>
              </w:rPr>
            </w:pPr>
            <w:r w:rsidRPr="00576865">
              <w:rPr>
                <w:rFonts w:ascii="Cambria" w:eastAsia="Calibri" w:hAnsi="Cambria" w:cs="Times New Roman"/>
                <w:sz w:val="24"/>
              </w:rPr>
              <w:t>Chaque responsable pourra visualiser la liste de toutes les autorisations d’absence des agents sous sa tutelle. En particulier le CSMGP pourra consulter les autorisations d’absence de tous les agents de la DMP.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Précondition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responsable doit être authentifié en tant que CSR, SD, DR ou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Démarrage</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Clique sur le lien « Consulter la liste des autorisations d’absence »</w:t>
            </w:r>
          </w:p>
        </w:tc>
      </w:tr>
    </w:tbl>
    <w:p w:rsidR="00576865" w:rsidRPr="00576865" w:rsidRDefault="00576865" w:rsidP="00576865">
      <w:pPr>
        <w:numPr>
          <w:ilvl w:val="0"/>
          <w:numId w:val="1"/>
        </w:numPr>
        <w:spacing w:before="240" w:after="0" w:line="276" w:lineRule="auto"/>
        <w:contextualSpacing/>
        <w:rPr>
          <w:rFonts w:ascii="Cambria" w:eastAsia="Calibri" w:hAnsi="Cambria" w:cs="Times New Roman"/>
          <w:b/>
          <w:sz w:val="24"/>
        </w:rPr>
      </w:pPr>
      <w:r w:rsidRPr="00576865">
        <w:rPr>
          <w:rFonts w:ascii="Cambria" w:eastAsia="Calibri" w:hAnsi="Cambria" w:cs="Times New Roman"/>
          <w:b/>
          <w:sz w:val="24"/>
        </w:rPr>
        <w:t>Cas d’utilisation « Consulter la liste des congés »</w:t>
      </w:r>
    </w:p>
    <w:tbl>
      <w:tblPr>
        <w:tblStyle w:val="Grilledutableau"/>
        <w:tblW w:w="0" w:type="auto"/>
        <w:tblLook w:val="04A0" w:firstRow="1" w:lastRow="0" w:firstColumn="1" w:lastColumn="0" w:noHBand="0" w:noVBand="1"/>
      </w:tblPr>
      <w:tblGrid>
        <w:gridCol w:w="2762"/>
        <w:gridCol w:w="6254"/>
      </w:tblGrid>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14</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Nom du cas d’utilisation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Consulter la liste des congés </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Acteur(s)</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Responsable (CSR, SD, DR,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p>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Description</w:t>
            </w:r>
          </w:p>
        </w:tc>
        <w:tc>
          <w:tcPr>
            <w:tcW w:w="6410" w:type="dxa"/>
          </w:tcPr>
          <w:p w:rsidR="00576865" w:rsidRPr="00576865" w:rsidRDefault="00576865" w:rsidP="00576865">
            <w:pPr>
              <w:jc w:val="both"/>
              <w:rPr>
                <w:rFonts w:ascii="Cambria" w:eastAsia="Calibri" w:hAnsi="Cambria" w:cs="Times New Roman"/>
                <w:sz w:val="24"/>
              </w:rPr>
            </w:pPr>
            <w:r w:rsidRPr="00576865">
              <w:rPr>
                <w:rFonts w:ascii="Cambria" w:eastAsia="Calibri" w:hAnsi="Cambria" w:cs="Times New Roman"/>
                <w:sz w:val="24"/>
              </w:rPr>
              <w:t>Chaque responsable pourra visualiser la liste de tous les congés des agents sous sa tutelle. En particulier le CSMGP pourra consulter les congés de tous les agents de la DMP.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Précondition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responsable doit être authentifié en tant que CSR, SD, DR ou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Démarrage</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Clique sur le lien « Consulter la liste des congés »</w:t>
            </w:r>
          </w:p>
        </w:tc>
      </w:tr>
    </w:tbl>
    <w:p w:rsidR="00576865" w:rsidRPr="00576865" w:rsidRDefault="00576865" w:rsidP="00576865">
      <w:pPr>
        <w:numPr>
          <w:ilvl w:val="0"/>
          <w:numId w:val="1"/>
        </w:numPr>
        <w:spacing w:before="240" w:after="0" w:line="276" w:lineRule="auto"/>
        <w:contextualSpacing/>
        <w:rPr>
          <w:rFonts w:ascii="Cambria" w:eastAsia="Calibri" w:hAnsi="Cambria" w:cs="Times New Roman"/>
          <w:b/>
          <w:sz w:val="24"/>
        </w:rPr>
      </w:pPr>
      <w:r w:rsidRPr="00576865">
        <w:rPr>
          <w:rFonts w:ascii="Cambria" w:eastAsia="Calibri" w:hAnsi="Cambria" w:cs="Times New Roman"/>
          <w:b/>
          <w:sz w:val="24"/>
        </w:rPr>
        <w:t>Cas d’utilisation « Consulter la liste des départs »</w:t>
      </w:r>
    </w:p>
    <w:tbl>
      <w:tblPr>
        <w:tblStyle w:val="Grilledutableau"/>
        <w:tblW w:w="0" w:type="auto"/>
        <w:tblLook w:val="04A0" w:firstRow="1" w:lastRow="0" w:firstColumn="1" w:lastColumn="0" w:noHBand="0" w:noVBand="1"/>
      </w:tblPr>
      <w:tblGrid>
        <w:gridCol w:w="2760"/>
        <w:gridCol w:w="6256"/>
      </w:tblGrid>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15</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Nom du cas d’utilisation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Consulter la liste des départs </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Acteur(s)</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Responsable (CSR, SD, DR,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p>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Description</w:t>
            </w:r>
          </w:p>
        </w:tc>
        <w:tc>
          <w:tcPr>
            <w:tcW w:w="6410" w:type="dxa"/>
          </w:tcPr>
          <w:p w:rsidR="00576865" w:rsidRPr="00576865" w:rsidRDefault="00576865" w:rsidP="00576865">
            <w:pPr>
              <w:jc w:val="both"/>
              <w:rPr>
                <w:rFonts w:ascii="Cambria" w:eastAsia="Calibri" w:hAnsi="Cambria" w:cs="Times New Roman"/>
                <w:sz w:val="24"/>
              </w:rPr>
            </w:pPr>
            <w:r w:rsidRPr="00576865">
              <w:rPr>
                <w:rFonts w:ascii="Cambria" w:eastAsia="Calibri" w:hAnsi="Cambria" w:cs="Times New Roman"/>
                <w:sz w:val="24"/>
              </w:rPr>
              <w:t>Chaque responsable pourra visualiser la liste des départs de son unité administrative. En particulier le CSMGP pourra consulter la liste de tous les départs de la DMP.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Précondition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responsable doit être authentifié en tant que CSR, SD, DR ou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Démarrage</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Clique sur le lien « Consulter la liste des départs »</w:t>
            </w:r>
          </w:p>
        </w:tc>
      </w:tr>
    </w:tbl>
    <w:p w:rsidR="00997568" w:rsidRDefault="00FD4113"/>
    <w:p w:rsidR="00576865" w:rsidRPr="00576865" w:rsidRDefault="00576865" w:rsidP="00576865">
      <w:pPr>
        <w:numPr>
          <w:ilvl w:val="0"/>
          <w:numId w:val="4"/>
        </w:numPr>
        <w:spacing w:before="240" w:after="0" w:line="276" w:lineRule="auto"/>
        <w:contextualSpacing/>
        <w:rPr>
          <w:rFonts w:ascii="Cambria" w:eastAsia="Calibri" w:hAnsi="Cambria" w:cs="Times New Roman"/>
          <w:b/>
          <w:sz w:val="24"/>
        </w:rPr>
      </w:pPr>
      <w:r w:rsidRPr="00576865">
        <w:rPr>
          <w:rFonts w:ascii="Cambria" w:eastAsia="Calibri" w:hAnsi="Cambria" w:cs="Times New Roman"/>
          <w:b/>
          <w:sz w:val="24"/>
        </w:rPr>
        <w:lastRenderedPageBreak/>
        <w:t>Cas d’utilisation « Consulter la liste des promotions »</w:t>
      </w:r>
    </w:p>
    <w:tbl>
      <w:tblPr>
        <w:tblStyle w:val="Grilledutableau1"/>
        <w:tblW w:w="0" w:type="auto"/>
        <w:tblLook w:val="04A0" w:firstRow="1" w:lastRow="0" w:firstColumn="1" w:lastColumn="0" w:noHBand="0" w:noVBand="1"/>
      </w:tblPr>
      <w:tblGrid>
        <w:gridCol w:w="2761"/>
        <w:gridCol w:w="6255"/>
      </w:tblGrid>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16</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Nom du cas d’utilisation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Consulter la liste des promotions </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Acteur(s)</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Responsable (CSR, SD, DR,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p>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Description</w:t>
            </w:r>
          </w:p>
        </w:tc>
        <w:tc>
          <w:tcPr>
            <w:tcW w:w="6410" w:type="dxa"/>
          </w:tcPr>
          <w:p w:rsidR="00576865" w:rsidRPr="00576865" w:rsidRDefault="00576865" w:rsidP="00576865">
            <w:pPr>
              <w:jc w:val="both"/>
              <w:rPr>
                <w:rFonts w:ascii="Cambria" w:eastAsia="Calibri" w:hAnsi="Cambria" w:cs="Times New Roman"/>
                <w:sz w:val="24"/>
              </w:rPr>
            </w:pPr>
            <w:r w:rsidRPr="00576865">
              <w:rPr>
                <w:rFonts w:ascii="Cambria" w:eastAsia="Calibri" w:hAnsi="Cambria" w:cs="Times New Roman"/>
                <w:sz w:val="24"/>
              </w:rPr>
              <w:t>Chaque responsable pourra visualiser la liste des promotions de ses agents. En particulier le CSMGP pourra consulter la liste de toutes les promotions de la DMP.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Précondition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responsable doit être authentifié en tant que CSR, SD, DR ou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Démarrage</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Clique sur le lien « Consulter la liste des promotions »</w:t>
            </w:r>
          </w:p>
        </w:tc>
      </w:tr>
    </w:tbl>
    <w:p w:rsidR="00576865" w:rsidRPr="00576865" w:rsidRDefault="00576865" w:rsidP="00576865">
      <w:pPr>
        <w:numPr>
          <w:ilvl w:val="0"/>
          <w:numId w:val="4"/>
        </w:numPr>
        <w:spacing w:before="240" w:after="0" w:line="276" w:lineRule="auto"/>
        <w:contextualSpacing/>
        <w:rPr>
          <w:rFonts w:ascii="Cambria" w:eastAsia="Calibri" w:hAnsi="Cambria" w:cs="Times New Roman"/>
          <w:b/>
          <w:sz w:val="24"/>
        </w:rPr>
      </w:pPr>
      <w:r w:rsidRPr="00576865">
        <w:rPr>
          <w:rFonts w:ascii="Cambria" w:eastAsia="Calibri" w:hAnsi="Cambria" w:cs="Times New Roman"/>
          <w:b/>
          <w:sz w:val="24"/>
        </w:rPr>
        <w:t>Cas d’utilisation « Enregistrer une nouvelle promotion »</w:t>
      </w:r>
    </w:p>
    <w:tbl>
      <w:tblPr>
        <w:tblStyle w:val="Grilledutableau1"/>
        <w:tblW w:w="0" w:type="auto"/>
        <w:tblLook w:val="04A0" w:firstRow="1" w:lastRow="0" w:firstColumn="1" w:lastColumn="0" w:noHBand="0" w:noVBand="1"/>
      </w:tblPr>
      <w:tblGrid>
        <w:gridCol w:w="2756"/>
        <w:gridCol w:w="6260"/>
      </w:tblGrid>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17</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Nom du cas d’utilisation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Enregistrer une nouvelle promotion </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Acteur(s)</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Chef de Service des Moyens Généraux et du Personnel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p>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Description</w:t>
            </w:r>
          </w:p>
        </w:tc>
        <w:tc>
          <w:tcPr>
            <w:tcW w:w="6410" w:type="dxa"/>
          </w:tcPr>
          <w:p w:rsidR="00576865" w:rsidRPr="00576865" w:rsidRDefault="00576865" w:rsidP="00576865">
            <w:pPr>
              <w:jc w:val="both"/>
              <w:rPr>
                <w:rFonts w:ascii="Cambria" w:eastAsia="Calibri" w:hAnsi="Cambria" w:cs="Times New Roman"/>
                <w:sz w:val="24"/>
              </w:rPr>
            </w:pPr>
            <w:r w:rsidRPr="00576865">
              <w:rPr>
                <w:rFonts w:ascii="Cambria" w:eastAsia="Calibri" w:hAnsi="Cambria" w:cs="Times New Roman"/>
                <w:sz w:val="24"/>
              </w:rPr>
              <w:t>Le CSMGP pourra enregistrer toutes les promotions des agents au sein de la DMP.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Précondition</w:t>
            </w:r>
          </w:p>
        </w:tc>
        <w:tc>
          <w:tcPr>
            <w:tcW w:w="6410" w:type="dxa"/>
          </w:tcPr>
          <w:p w:rsidR="00576865" w:rsidRPr="00576865" w:rsidRDefault="00576865" w:rsidP="00576865">
            <w:pPr>
              <w:numPr>
                <w:ilvl w:val="0"/>
                <w:numId w:val="5"/>
              </w:numPr>
              <w:contextualSpacing/>
              <w:rPr>
                <w:rFonts w:ascii="Cambria" w:eastAsia="Calibri" w:hAnsi="Cambria" w:cs="Times New Roman"/>
                <w:sz w:val="24"/>
              </w:rPr>
            </w:pPr>
            <w:r w:rsidRPr="00576865">
              <w:rPr>
                <w:rFonts w:ascii="Cambria" w:eastAsia="Calibri" w:hAnsi="Cambria" w:cs="Times New Roman"/>
                <w:sz w:val="24"/>
              </w:rPr>
              <w:t>Le CSMGP doit être authentifié en tant que CSMGP.</w:t>
            </w:r>
          </w:p>
          <w:p w:rsidR="00576865" w:rsidRPr="00576865" w:rsidRDefault="00576865" w:rsidP="00576865">
            <w:pPr>
              <w:numPr>
                <w:ilvl w:val="0"/>
                <w:numId w:val="5"/>
              </w:numPr>
              <w:contextualSpacing/>
              <w:rPr>
                <w:rFonts w:ascii="Cambria" w:eastAsia="Calibri" w:hAnsi="Cambria" w:cs="Times New Roman"/>
                <w:sz w:val="24"/>
              </w:rPr>
            </w:pPr>
            <w:r w:rsidRPr="00576865">
              <w:rPr>
                <w:rFonts w:ascii="Cambria" w:eastAsia="Calibri" w:hAnsi="Cambria" w:cs="Times New Roman"/>
                <w:sz w:val="24"/>
              </w:rPr>
              <w:t>L’agent devra fournir l’acte administratif prouvant sa promotion.</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Démarrage</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Clique sur le lien « Enregistrer une promotion »</w:t>
            </w:r>
          </w:p>
        </w:tc>
      </w:tr>
    </w:tbl>
    <w:p w:rsidR="00576865" w:rsidRPr="00576865" w:rsidRDefault="00576865" w:rsidP="00576865">
      <w:pPr>
        <w:spacing w:before="240" w:after="0" w:line="276" w:lineRule="auto"/>
        <w:ind w:left="720"/>
        <w:contextualSpacing/>
        <w:rPr>
          <w:rFonts w:ascii="Cambria" w:eastAsia="Calibri" w:hAnsi="Cambria" w:cs="Times New Roman"/>
          <w:b/>
          <w:sz w:val="24"/>
        </w:rPr>
      </w:pPr>
    </w:p>
    <w:p w:rsidR="00576865" w:rsidRPr="00576865" w:rsidRDefault="00576865" w:rsidP="00576865">
      <w:pPr>
        <w:numPr>
          <w:ilvl w:val="0"/>
          <w:numId w:val="4"/>
        </w:numPr>
        <w:spacing w:before="240" w:after="0" w:line="276" w:lineRule="auto"/>
        <w:contextualSpacing/>
        <w:rPr>
          <w:rFonts w:ascii="Cambria" w:eastAsia="Calibri" w:hAnsi="Cambria" w:cs="Times New Roman"/>
          <w:b/>
          <w:sz w:val="24"/>
        </w:rPr>
      </w:pPr>
      <w:r w:rsidRPr="00576865">
        <w:rPr>
          <w:rFonts w:ascii="Cambria" w:eastAsia="Calibri" w:hAnsi="Cambria" w:cs="Times New Roman"/>
          <w:b/>
          <w:sz w:val="24"/>
        </w:rPr>
        <w:t>Cas d’utilisation « Modifier une promotion »</w:t>
      </w:r>
    </w:p>
    <w:tbl>
      <w:tblPr>
        <w:tblStyle w:val="Grilledutableau1"/>
        <w:tblW w:w="0" w:type="auto"/>
        <w:tblLook w:val="04A0" w:firstRow="1" w:lastRow="0" w:firstColumn="1" w:lastColumn="0" w:noHBand="0" w:noVBand="1"/>
      </w:tblPr>
      <w:tblGrid>
        <w:gridCol w:w="2762"/>
        <w:gridCol w:w="6254"/>
      </w:tblGrid>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18</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Nom du cas d’utilisation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Modifier une promotion </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Acteur(s)</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Chef de Service des Moyens Généraux et du Personnel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p>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Description</w:t>
            </w:r>
          </w:p>
        </w:tc>
        <w:tc>
          <w:tcPr>
            <w:tcW w:w="6410" w:type="dxa"/>
          </w:tcPr>
          <w:p w:rsidR="00576865" w:rsidRPr="00576865" w:rsidRDefault="00576865" w:rsidP="00576865">
            <w:pPr>
              <w:jc w:val="both"/>
              <w:rPr>
                <w:rFonts w:ascii="Cambria" w:eastAsia="Calibri" w:hAnsi="Cambria" w:cs="Times New Roman"/>
                <w:sz w:val="24"/>
              </w:rPr>
            </w:pPr>
            <w:r w:rsidRPr="00576865">
              <w:rPr>
                <w:rFonts w:ascii="Cambria" w:eastAsia="Calibri" w:hAnsi="Cambria" w:cs="Times New Roman"/>
                <w:sz w:val="24"/>
              </w:rPr>
              <w:t>Le CSMGP pourra modifier les informations relatives aux promotions des agents.</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Précondition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responsable doit être authentifié en tant que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Démarrage</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Clique sur le lien « Modifier une promotion »</w:t>
            </w:r>
          </w:p>
        </w:tc>
      </w:tr>
    </w:tbl>
    <w:p w:rsidR="00576865" w:rsidRPr="00576865" w:rsidRDefault="00576865" w:rsidP="00576865">
      <w:pPr>
        <w:spacing w:before="240" w:after="0" w:line="276" w:lineRule="auto"/>
        <w:ind w:left="720"/>
        <w:contextualSpacing/>
        <w:rPr>
          <w:rFonts w:ascii="Cambria" w:eastAsia="Calibri" w:hAnsi="Cambria" w:cs="Times New Roman"/>
          <w:b/>
          <w:sz w:val="24"/>
        </w:rPr>
      </w:pPr>
    </w:p>
    <w:p w:rsidR="00576865" w:rsidRPr="00576865" w:rsidRDefault="00576865" w:rsidP="00576865">
      <w:pPr>
        <w:numPr>
          <w:ilvl w:val="0"/>
          <w:numId w:val="4"/>
        </w:numPr>
        <w:spacing w:before="240" w:after="0" w:line="276" w:lineRule="auto"/>
        <w:contextualSpacing/>
        <w:rPr>
          <w:rFonts w:ascii="Cambria" w:eastAsia="Calibri" w:hAnsi="Cambria" w:cs="Times New Roman"/>
          <w:b/>
          <w:sz w:val="24"/>
        </w:rPr>
      </w:pPr>
      <w:r w:rsidRPr="00576865">
        <w:rPr>
          <w:rFonts w:ascii="Cambria" w:eastAsia="Calibri" w:hAnsi="Cambria" w:cs="Times New Roman"/>
          <w:b/>
          <w:sz w:val="24"/>
        </w:rPr>
        <w:t>Cas d’utilisation « Supprimer une promotion »</w:t>
      </w:r>
    </w:p>
    <w:tbl>
      <w:tblPr>
        <w:tblStyle w:val="Grilledutableau1"/>
        <w:tblW w:w="0" w:type="auto"/>
        <w:tblLook w:val="04A0" w:firstRow="1" w:lastRow="0" w:firstColumn="1" w:lastColumn="0" w:noHBand="0" w:noVBand="1"/>
      </w:tblPr>
      <w:tblGrid>
        <w:gridCol w:w="2762"/>
        <w:gridCol w:w="6254"/>
      </w:tblGrid>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19</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Nom du cas d’utilisation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Supprimer une promotion </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Acteur(s)</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Chef de Service des Moyens Généraux et du Personnel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p>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Description</w:t>
            </w:r>
          </w:p>
        </w:tc>
        <w:tc>
          <w:tcPr>
            <w:tcW w:w="6410" w:type="dxa"/>
          </w:tcPr>
          <w:p w:rsidR="00576865" w:rsidRPr="00576865" w:rsidRDefault="00576865" w:rsidP="00576865">
            <w:pPr>
              <w:jc w:val="both"/>
              <w:rPr>
                <w:rFonts w:ascii="Cambria" w:eastAsia="Calibri" w:hAnsi="Cambria" w:cs="Times New Roman"/>
                <w:sz w:val="24"/>
              </w:rPr>
            </w:pPr>
            <w:r w:rsidRPr="00576865">
              <w:rPr>
                <w:rFonts w:ascii="Cambria" w:eastAsia="Calibri" w:hAnsi="Cambria" w:cs="Times New Roman"/>
                <w:sz w:val="24"/>
              </w:rPr>
              <w:t>Le CSMGP pourra supprimer  les informations relatives à certaines promotions en cas de nécessité.</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Précondition</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Le CSMGP doit être authentifié en tant que CSMGP.</w:t>
            </w:r>
          </w:p>
        </w:tc>
      </w:tr>
      <w:tr w:rsidR="00576865" w:rsidRPr="00576865" w:rsidTr="00030E12">
        <w:tc>
          <w:tcPr>
            <w:tcW w:w="2802"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Démarrage</w:t>
            </w:r>
          </w:p>
        </w:tc>
        <w:tc>
          <w:tcPr>
            <w:tcW w:w="6410" w:type="dxa"/>
          </w:tcPr>
          <w:p w:rsidR="00576865" w:rsidRPr="00576865" w:rsidRDefault="00576865" w:rsidP="00576865">
            <w:pPr>
              <w:rPr>
                <w:rFonts w:ascii="Cambria" w:eastAsia="Calibri" w:hAnsi="Cambria" w:cs="Times New Roman"/>
                <w:sz w:val="24"/>
              </w:rPr>
            </w:pPr>
            <w:r w:rsidRPr="00576865">
              <w:rPr>
                <w:rFonts w:ascii="Cambria" w:eastAsia="Calibri" w:hAnsi="Cambria" w:cs="Times New Roman"/>
                <w:sz w:val="24"/>
              </w:rPr>
              <w:t>Clique sur le lien « Supprimer une promotion »</w:t>
            </w:r>
          </w:p>
        </w:tc>
      </w:tr>
    </w:tbl>
    <w:p w:rsidR="00576865" w:rsidRPr="00576865" w:rsidRDefault="00576865" w:rsidP="00576865">
      <w:pPr>
        <w:numPr>
          <w:ilvl w:val="2"/>
          <w:numId w:val="3"/>
        </w:numPr>
        <w:spacing w:before="240" w:after="200" w:line="276" w:lineRule="auto"/>
        <w:ind w:left="1985"/>
        <w:contextualSpacing/>
        <w:rPr>
          <w:rFonts w:ascii="Cambria" w:eastAsia="Calibri" w:hAnsi="Cambria" w:cs="Times New Roman"/>
          <w:b/>
          <w:sz w:val="24"/>
        </w:rPr>
      </w:pPr>
      <w:r w:rsidRPr="00576865">
        <w:rPr>
          <w:rFonts w:ascii="Cambria" w:eastAsia="Calibri" w:hAnsi="Cambria" w:cs="Times New Roman"/>
          <w:b/>
          <w:sz w:val="24"/>
        </w:rPr>
        <w:t>Cas d’utilisation détaillés</w:t>
      </w:r>
    </w:p>
    <w:p w:rsidR="00576865" w:rsidRPr="00576865" w:rsidRDefault="00576865" w:rsidP="00576865">
      <w:pPr>
        <w:numPr>
          <w:ilvl w:val="0"/>
          <w:numId w:val="4"/>
        </w:numPr>
        <w:spacing w:before="240" w:after="200" w:line="276" w:lineRule="auto"/>
        <w:contextualSpacing/>
        <w:rPr>
          <w:rFonts w:ascii="Calibri" w:eastAsia="Calibri" w:hAnsi="Calibri" w:cs="Times New Roman"/>
          <w:b/>
        </w:rPr>
      </w:pPr>
      <w:r w:rsidRPr="00576865">
        <w:rPr>
          <w:rFonts w:ascii="Cambria" w:eastAsia="Calibri" w:hAnsi="Cambria" w:cs="Times New Roman"/>
          <w:sz w:val="24"/>
        </w:rPr>
        <w:t>Cas d’utilisation « Consulter la liste des promotions »</w:t>
      </w:r>
    </w:p>
    <w:p w:rsidR="00576865" w:rsidRPr="00576865" w:rsidRDefault="00576865" w:rsidP="00576865">
      <w:pPr>
        <w:numPr>
          <w:ilvl w:val="0"/>
          <w:numId w:val="4"/>
        </w:numPr>
        <w:spacing w:before="240" w:after="200" w:line="276" w:lineRule="auto"/>
        <w:contextualSpacing/>
        <w:rPr>
          <w:rFonts w:ascii="Cambria" w:eastAsia="Calibri" w:hAnsi="Cambria" w:cs="Times New Roman"/>
          <w:b/>
          <w:sz w:val="24"/>
        </w:rPr>
      </w:pPr>
      <w:r w:rsidRPr="00576865">
        <w:rPr>
          <w:rFonts w:ascii="Cambria" w:eastAsia="Calibri" w:hAnsi="Cambria" w:cs="Times New Roman"/>
          <w:sz w:val="24"/>
        </w:rPr>
        <w:t>Cas d’utilisation « Enregistrer une nouvelle promotion »</w:t>
      </w:r>
    </w:p>
    <w:p w:rsidR="00576865" w:rsidRPr="00576865" w:rsidRDefault="00576865" w:rsidP="00576865">
      <w:pPr>
        <w:numPr>
          <w:ilvl w:val="0"/>
          <w:numId w:val="4"/>
        </w:numPr>
        <w:spacing w:before="240" w:after="200" w:line="276" w:lineRule="auto"/>
        <w:contextualSpacing/>
        <w:rPr>
          <w:rFonts w:ascii="Cambria" w:eastAsia="Calibri" w:hAnsi="Cambria" w:cs="Times New Roman"/>
          <w:b/>
          <w:sz w:val="24"/>
        </w:rPr>
      </w:pPr>
      <w:r w:rsidRPr="00576865">
        <w:rPr>
          <w:rFonts w:ascii="Cambria" w:eastAsia="Calibri" w:hAnsi="Cambria" w:cs="Times New Roman"/>
          <w:sz w:val="24"/>
        </w:rPr>
        <w:t>Cas d’utilisation « Modifier une promotion »</w:t>
      </w:r>
    </w:p>
    <w:p w:rsidR="00576865" w:rsidRPr="00576865" w:rsidRDefault="00576865" w:rsidP="00576865">
      <w:pPr>
        <w:numPr>
          <w:ilvl w:val="0"/>
          <w:numId w:val="4"/>
        </w:numPr>
        <w:spacing w:before="240" w:after="200" w:line="276" w:lineRule="auto"/>
        <w:contextualSpacing/>
        <w:rPr>
          <w:rFonts w:ascii="Cambria" w:eastAsia="Calibri" w:hAnsi="Cambria" w:cs="Times New Roman"/>
          <w:b/>
          <w:sz w:val="24"/>
        </w:rPr>
      </w:pPr>
      <w:r w:rsidRPr="00576865">
        <w:rPr>
          <w:rFonts w:ascii="Cambria" w:eastAsia="Calibri" w:hAnsi="Cambria" w:cs="Times New Roman"/>
          <w:sz w:val="24"/>
        </w:rPr>
        <w:t>Cas d’utilisation « Supprimer une promotion »</w:t>
      </w:r>
    </w:p>
    <w:p w:rsidR="00576865" w:rsidRDefault="00576865">
      <w:bookmarkStart w:id="0" w:name="_GoBack"/>
      <w:bookmarkEnd w:id="0"/>
    </w:p>
    <w:sectPr w:rsidR="0057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11448"/>
    <w:multiLevelType w:val="hybridMultilevel"/>
    <w:tmpl w:val="9C8E8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6C2163"/>
    <w:multiLevelType w:val="hybridMultilevel"/>
    <w:tmpl w:val="1CD20ADA"/>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BC72AA"/>
    <w:multiLevelType w:val="hybridMultilevel"/>
    <w:tmpl w:val="83143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032F5B"/>
    <w:multiLevelType w:val="multilevel"/>
    <w:tmpl w:val="F1FCDAA6"/>
    <w:lvl w:ilvl="0">
      <w:start w:val="1"/>
      <w:numFmt w:val="decimal"/>
      <w:pStyle w:val="Titre3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Titre4"/>
      <w:lvlText w:val="%1.%2."/>
      <w:lvlJc w:val="left"/>
      <w:pPr>
        <w:ind w:left="792" w:hanging="432"/>
      </w:pPr>
      <w:rPr>
        <w:rFonts w:hint="default"/>
      </w:rPr>
    </w:lvl>
    <w:lvl w:ilvl="2">
      <w:start w:val="1"/>
      <w:numFmt w:val="decimal"/>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FFD02AE"/>
    <w:multiLevelType w:val="hybridMultilevel"/>
    <w:tmpl w:val="1D8E1B6A"/>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65"/>
    <w:rsid w:val="00576865"/>
    <w:rsid w:val="005F61CB"/>
    <w:rsid w:val="00C979A7"/>
    <w:rsid w:val="00FD4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C6E6A-D6C4-4E60-A582-F29D34DD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5768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Titre3"/>
    <w:next w:val="Normal"/>
    <w:link w:val="Titre4Car"/>
    <w:uiPriority w:val="9"/>
    <w:unhideWhenUsed/>
    <w:qFormat/>
    <w:rsid w:val="00576865"/>
    <w:pPr>
      <w:numPr>
        <w:ilvl w:val="1"/>
        <w:numId w:val="3"/>
      </w:numPr>
      <w:spacing w:before="200" w:line="276" w:lineRule="auto"/>
      <w:outlineLvl w:val="3"/>
    </w:pPr>
    <w:rPr>
      <w:b/>
      <w:bCs/>
      <w:color w:val="auto"/>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7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31">
    <w:name w:val="Titre 31"/>
    <w:basedOn w:val="Normal"/>
    <w:next w:val="Normal"/>
    <w:uiPriority w:val="9"/>
    <w:unhideWhenUsed/>
    <w:qFormat/>
    <w:rsid w:val="00576865"/>
    <w:pPr>
      <w:keepNext/>
      <w:keepLines/>
      <w:numPr>
        <w:numId w:val="3"/>
      </w:numPr>
      <w:tabs>
        <w:tab w:val="num" w:pos="360"/>
      </w:tabs>
      <w:spacing w:before="200" w:after="0" w:line="276" w:lineRule="auto"/>
      <w:ind w:left="0" w:firstLine="0"/>
      <w:outlineLvl w:val="2"/>
    </w:pPr>
    <w:rPr>
      <w:rFonts w:ascii="Cambria" w:eastAsia="Times New Roman" w:hAnsi="Cambria" w:cs="Times New Roman"/>
      <w:b/>
      <w:bCs/>
      <w:sz w:val="32"/>
    </w:rPr>
  </w:style>
  <w:style w:type="character" w:customStyle="1" w:styleId="Titre4Car">
    <w:name w:val="Titre 4 Car"/>
    <w:basedOn w:val="Policepardfaut"/>
    <w:link w:val="Titre4"/>
    <w:uiPriority w:val="9"/>
    <w:rsid w:val="00576865"/>
    <w:rPr>
      <w:rFonts w:asciiTheme="majorHAnsi" w:eastAsiaTheme="majorEastAsia" w:hAnsiTheme="majorHAnsi" w:cstheme="majorBidi"/>
      <w:b/>
      <w:bCs/>
      <w:sz w:val="28"/>
      <w:szCs w:val="28"/>
    </w:rPr>
  </w:style>
  <w:style w:type="table" w:customStyle="1" w:styleId="Grilledutableau1">
    <w:name w:val="Grille du tableau1"/>
    <w:basedOn w:val="TableauNormal"/>
    <w:next w:val="Grilledutableau"/>
    <w:uiPriority w:val="59"/>
    <w:rsid w:val="0057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5768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650</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2020-06-24T01:26:00Z</dcterms:created>
  <dcterms:modified xsi:type="dcterms:W3CDTF">2020-06-24T02:08:00Z</dcterms:modified>
</cp:coreProperties>
</file>