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52"/>
          <w:sz-cs w:val="52"/>
          <w:b/>
          <w:color w:val="111827"/>
        </w:rPr>
        <w:t xml:space="preserve">Lenin Cuadra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A56DB"/>
        </w:rPr>
        <w:t xml:space="preserve">Senior Product Designer  ·  Líder de Adopción de IA</w:t>
      </w:r>
      <w:r>
        <w:rPr>
          <w:rFonts w:ascii="Arial" w:hAnsi="Arial" w:cs="Arial"/>
          <w:sz w:val="19"/>
          <w:sz-cs w:val="19"/>
          <w:color w:val="6B7280"/>
        </w:rPr>
        <w:t xml:space="preserve"/>
        <w:tab/>
        <w:t xml:space="preserve">Córdoba, Argentina · Remoto &amp; Híbrido</w:t>
      </w:r>
    </w:p>
    <w:p>
      <w:pPr>
        <w:spacing w:after="60"/>
      </w:pPr>
      <w:r>
        <w:rPr>
          <w:b/>
          <w:rFonts w:ascii="Arial" w:hAnsi="Arial" w:cs="Arial"/>
          <w:sz w:val="18"/>
          <w:sz-cs w:val="18"/>
          <w:color w:val="111827"/>
        </w:rPr>
        <w:t xml:space="preserve">Portfolio: </w:t>
      </w:r>
      <w:hyperlink r:id="rId100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lenincuadra.com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| </w:t>
      </w:r>
      <w:r>
        <w:rPr>
          <w:rFonts w:ascii="Arial" w:hAnsi="Arial" w:cs="Arial"/>
          <w:sz w:val="18"/>
          <w:sz-cs w:val="18"/>
          <w:u w:val="single"/>
          <w:color w:val="1A56DB"/>
        </w:rPr>
        <w:t xml:space="preserve">hola@lenincuadra.com</w:t>
      </w:r>
      <w:r>
        <w:rPr>
          <w:rFonts w:ascii="Arial" w:hAnsi="Arial" w:cs="Arial"/>
          <w:sz w:val="18"/>
          <w:sz-cs w:val="18"/>
          <w:color w:val="6B7280"/>
        </w:rPr>
        <w:t xml:space="preserve"> | </w:t>
      </w:r>
      <w:hyperlink r:id="rId101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linkedin.com/in/lenincuadra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| </w:t>
      </w:r>
      <w:hyperlink r:id="rId102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github.com/lenincuadra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| </w:t>
      </w:r>
      <w:r>
        <w:rPr>
          <w:rFonts w:ascii="Arial" w:hAnsi="Arial" w:cs="Arial"/>
          <w:sz w:val="18"/>
          <w:sz-cs w:val="18"/>
          <w:color w:val="6B7280"/>
        </w:rPr>
        <w:t xml:space="preserve">+54 9 351-376-6049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1A56DB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RESUMEN PROFESIONAL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>6 años de experiencia en diseño end-to-end de productos SaaS, fintech y EdTech. Actualmente liderando la adopción de IA en un equipo de 6 diseñadores, realizando entrevistas de diagnóstico, workshops de descubrimiento y demostraciones de flujos con IA. Desarrollé un sistema de componentes código-primero usando Claude Code + MCP de Figma que comprimió una semana de trabajo en 2 días, habilitando demos de ventas con look &amp; feel real, pruebas de usabilidad de alta fidelidad y un camino hacia la eliminación del handoff tradicional. Sólida experiencia en Design Systems, colaboración cross-funcional y traducción de restricciones técnicas complejas en experiencias intuitivas.</w:t>
      </w:r>
    </w:p>
    <w:p>
      <w:pPr>
        <w:spacing w:after="8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EXPERIENCIA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 · Líder Adopción IA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PSH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2024 – Presente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Liderando la integración de IA en un equipo de 6 diseñadores.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Cliente: Follett (EdTech, mercado USA) - modalidad remota, en inglés.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Lideré la iniciativa de adopción de IA en el equipo de diseño: realicé entrevistas y encuestas informales para mapear el nivel actual, facilité un workshop de descubrimiento para identificar necesidades por contexto de cliente, y conduzco demos periódicas para impulsar la adopción de flujos con IA.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Propuse e inicié un flujo de Design System basado en GitHub: construí una librería de componentes funcional usando Claude Code + Figma MCP, replicando un producto completo en código desde referencias en Figma en 2 días (vs. 1 semana anterior). Pitch aprobado; repo en configuración.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Identifiqué 4 casos de uso de alto valor para el sistema código-primero: (1) Demos de ventas con look &amp; feel de producción, (2) Testing de usuarios de mayor fidelidad para detectar problemas reales de accesibilidad y comportamiento, (3) Presentaciones a stakeholders con fidelidad de app real, (4) Eliminación potencial del handoff de diseño tradicional.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Desarrollé un plugin de Figma para exportación batch de imágenes en .webp, reduciendo el tiempo de exportación de ~1 hora por 12 imágenes a menos de un minuto.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Aumento del 300% en suscripciones únicas de usuarios en una funcionalidad clave tras el rediseño de los flujos de Materials Adoption y Course Supplies.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Lidero el proceso de diseño de concepto a implementación: documentación de componentes en Figma, handoff a desarrolladores y alineación con stakeholders.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Flevo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Ene 2023 – Dic 2023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Startup fintech enfocada en acceso a crédito estudiantil (B2C/B2B/B2B2C).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end-to-end del funnel KYC con aumento de adquisición de usuarios del 50%+.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end-to-end del producto v3 con Dynamic Pricing basado en análisis del historial crediticio del deudor.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de la WebApp SaaS (B2B) para gestión de datos de estudiantes por parte de instituciones.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Integración de Amazon Rekognition con el equipo backend para automatizar extracción de datos de documentos y autofill, reduciendo el abandono del funnel.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Construcción y mantenimiento de Design System en Figma (Atomic Design) alineado con la implementación de Tailwind CSS del frontend. Desarrollé el componente 'cell' como base del producto B2B.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flujos de checkout para 3 tipos de usuarios. Creación de piezas de marketing y presentaciones para inversores junto al CPO y COO.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Truenorth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2022 – Oct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de producto financiero B2B para PyMEs y solopreneurs.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Modalidad remota, en inglés, para mercado USA.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UI de producto financiero embebido; refactorización del sistema de colores hacia un Design System con accesibilidad WCAG.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Rebranding de wallet fintech; adaptación de componentes de mobile a pantallas de tamaño Kiosk.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Avaya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2021 – Mar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Refactoring de una aplicación SaaS de comunicaciones. via Incluit (hoy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Discovery completo: sitemap del estado actual, entrevistas a usuarios, mapa de empatía y workshop de priorización con el equipo UX.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prototipos low-fi a high-fi; 2 rondas de testing de usabilidad con iteración basada en insights.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Naranja X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2020 – May 2021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de productos fintech B2B y B2C; SaaS interno y marketing. via Incluit (hoy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de producto fintech de 0 a 1: flujos, sitemaps, wireframes, mockups hi-fi y componentes del Design System.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Lideré investigación: usability tests, benchmarks y card sorting.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Rediseño de SaaS interno mejorando la Developer Experience; uso de datos de Hotjar + Google Analytics para toma de decisiones.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Montironi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Ago 2019 – May 2020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Diseño UX/UI enfocado en generación de leads para el equipo de Marketing.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Aumento del 221% en ventas vs Q1 del año anterior.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Diseño y validación mediante landing pages, páginas web y newsletters.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A/B testing de copies, imágenes y botones.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Decisiones basadas en datos de Google Analytics y heatmaps de Hotjar.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HABILIDADES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IA y Herramientas Emergentes: </w:t>
      </w:r>
      <w:r>
        <w:rPr>
          <w:rFonts w:ascii="Arial" w:hAnsi="Arial" w:cs="Arial"/>
          <w:sz w:val="19"/>
          <w:sz-cs w:val="19"/>
          <w:color w:val="374151"/>
        </w:rPr>
        <w:t xml:space="preserve">Claude Code, MCP (Figma), Figma AI, ChatGPT, Prototipado con IA, Flujos con prompts, Vibe coding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Product Design: </w:t>
      </w:r>
      <w:r>
        <w:rPr>
          <w:rFonts w:ascii="Arial" w:hAnsi="Arial" w:cs="Arial"/>
          <w:sz w:val="19"/>
          <w:sz-cs w:val="19"/>
          <w:color w:val="374151"/>
        </w:rPr>
        <w:t xml:space="preserve">Diseño end-to-end, Design Systems, Design Tokens, Atomic Design, Interaction Design, Visual Design, UX Writing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Research &amp; Estrategia: </w:t>
      </w:r>
      <w:r>
        <w:rPr>
          <w:rFonts w:ascii="Arial" w:hAnsi="Arial" w:cs="Arial"/>
          <w:sz w:val="19"/>
          <w:sz-cs w:val="19"/>
          <w:color w:val="374151"/>
        </w:rPr>
        <w:t xml:space="preserve">Entrevistas de usuario, Usability Testing, A/B Testing, Card Sorting, Empathy Mapping, Diseño basado en datos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Técnico: </w:t>
      </w:r>
      <w:r>
        <w:rPr>
          <w:rFonts w:ascii="Arial" w:hAnsi="Arial" w:cs="Arial"/>
          <w:sz w:val="19"/>
          <w:sz-cs w:val="19"/>
          <w:color w:val="374151"/>
        </w:rPr>
        <w:t xml:space="preserve">Figma, Git, GitHub, HTML5, CSS3, Tailwind CSS, VS Code, Amazon Rekognition (integración)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Analítica: </w:t>
      </w:r>
      <w:r>
        <w:rPr>
          <w:rFonts w:ascii="Arial" w:hAnsi="Arial" w:cs="Arial"/>
          <w:sz w:val="19"/>
          <w:sz-cs w:val="19"/>
          <w:color w:val="374151"/>
        </w:rPr>
        <w:t xml:space="preserve">Google Analytics, Hotjar, Microsoft Clarity, Optimal Workshop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Accesibilidad: </w:t>
      </w:r>
      <w:r>
        <w:rPr>
          <w:rFonts w:ascii="Arial" w:hAnsi="Arial" w:cs="Arial"/>
          <w:sz w:val="19"/>
          <w:sz-cs w:val="19"/>
          <w:color w:val="374151"/>
        </w:rPr>
        <w:t xml:space="preserve">WCAG 2.1 / ADA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Colaboración: </w:t>
      </w:r>
      <w:r>
        <w:rPr>
          <w:rFonts w:ascii="Arial" w:hAnsi="Arial" w:cs="Arial"/>
          <w:sz w:val="19"/>
          <w:sz-cs w:val="19"/>
          <w:color w:val="374151"/>
        </w:rPr>
        <w:t xml:space="preserve">Equipos cross-funcionales, Gestión de stakeholders, Facilitación de workshops, Agile / Scrum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Herramientas: </w:t>
      </w:r>
      <w:r>
        <w:rPr>
          <w:rFonts w:ascii="Arial" w:hAnsi="Arial" w:cs="Arial"/>
          <w:sz w:val="19"/>
          <w:sz-cs w:val="19"/>
          <w:color w:val="374151"/>
        </w:rPr>
        <w:t xml:space="preserve">Miro, FigJam, Adobe Creative Suite (XD, Ps, Ai, Id), Google Workspace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CERTIFICACIONES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 (versión MCP)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Abr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Abr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AI Fluency Framework &amp; Foundations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Claude 101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6B7280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EDUCACIÓN</w:t>
      </w:r>
    </w:p>
    <w:p>
      <w:pPr>
        <w:spacing w:before="80" w:after="40"/>
      </w:pPr>
      <w:r>
        <w:rPr>
          <w:rFonts w:ascii="Arial" w:hAnsi="Arial" w:cs="Arial"/>
          <w:sz w:val="20"/>
          <w:sz-cs w:val="20"/>
          <w:b/>
          <w:color w:val="111827"/>
        </w:rPr>
        <w:t xml:space="preserve">Diseño Gráfico</w:t>
      </w:r>
      <w:r>
        <w:rPr>
          <w:rFonts w:ascii="Arial" w:hAnsi="Arial" w:cs="Arial"/>
          <w:sz w:val="19"/>
          <w:sz-cs w:val="19"/>
          <w:color w:val="6B7280"/>
        </w:rPr>
        <w:t xml:space="preserve">  ·  Universidad Politécnica Experimental Antonio José de Sucre  ·  2010–2014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hyperlink" Target="https://lenincuadra.com/?ref=li-cv" TargetMode="External"/><Relationship Id="rId101" Type="http://schemas.openxmlformats.org/officeDocument/2006/relationships/hyperlink" Target="https://lenincuadra.com/go.html?ref=li-cv&amp;dest=linkedin" TargetMode="External"/><Relationship Id="rId102" Type="http://schemas.openxmlformats.org/officeDocument/2006/relationships/hyperlink" Target="https://lenincuadra.com/go.html?ref=li-cv&amp;dest=github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