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114300" distR="114300" simplePos="0" relativeHeight="2"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rPr>
          <w:rFonts w:eastAsia="Times New Roman" w:cs="Times New Roman" w:ascii="Times New Roman" w:hAnsi="Times New Roman"/>
          <w:sz w:val="24"/>
          <w:szCs w:val="24"/>
        </w:rPr>
        <w:drawing>
          <wp:anchor distT="0" distB="0" distL="0" distR="0" simplePos="0" relativeHeight="3"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rPr>
          <w:rFonts w:eastAsia="Times New Roman" w:cs="Times New Roman" w:ascii="Times New Roman" w:hAnsi="Times New Roman"/>
          <w:sz w:val="24"/>
          <w:szCs w:val="24"/>
        </w:rP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240"/>
        <w:ind w:firstLine="720" w:left="0"/>
        <w:jc w:val="both"/>
      </w:pPr>
      <w:r/>
      <w:r>
        <w:rPr>
          <w:rFonts w:ascii="Times New Roman" w:hAnsi="Times New Roman"/>
          <w:b w:val="0"/>
          <w:i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spacing w:line="360" w:lineRule="auto" w:before="0" w:after="240"/>
        <w:ind w:firstLine="720" w:left="0"/>
        <w:jc w:val="both"/>
      </w:pPr>
      <w:r/>
      <w:r>
        <w:rPr>
          <w:rFonts w:ascii="Times New Roman" w:hAnsi="Times New Roman"/>
          <w:b w:val="0"/>
          <w:i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240"/>
        <w:ind w:firstLine="720" w:left="0"/>
        <w:jc w:val="both"/>
      </w:pPr>
      <w:r/>
      <w:r>
        <w:rPr>
          <w:rFonts w:ascii="Times New Roman" w:hAnsi="Times New Roman"/>
          <w:b w:val="0"/>
          <w:i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spacing w:line="360" w:lineRule="auto" w:before="240" w:after="120"/>
        <w:ind w:firstLine="0" w:left="0"/>
        <w:jc w:val="left"/>
      </w:pPr>
      <w:r/>
      <w:r>
        <w:rPr>
          <w:rFonts w:ascii="Times New Roman" w:hAnsi="Times New Roman"/>
          <w:b/>
          <w:i w:val="0"/>
          <w:sz w:val="24"/>
        </w:rPr>
        <w:t>Sistemas de Información</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deudor registrado ni un metal precioso sin su correspondiente ficha técnica de kilataje y peso en gramos, lo cual es imposible de lograr con hojas de cálculo aisladas de Excel.</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y un control estricto de las fechas de vencimiento para evitar demoras operativas o pérdidas por custodia deficiente. El sistema de información automatiza estas variables financieras para dar transparencia a ambas partes de la relación contractual.</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Ley Orgánica de Minas (Gaceta Oficial N° 6.802 Extraordinario del 15 de abril de 2026):</w:t>
        <w:br/>
        <w:t>Esta ley regula de forma consolidada las actividades mineras y sus conexas, incluyendo el procesamiento, tenencia, transporte y comercialización de metales preciosos dentro del territorio nacional, estableciendo además el derecho preferente de compra por parte del Banco Central de Venezuela (BCV). Asimismo, se complementa con las normativas sobre prevención de legitimación de capitales bajo la Ley Orgánica contra la Delincuencia Organizada y Financiamiento al Terrorismo (2012).</w:t>
      </w:r>
    </w:p>
    <w:p>
      <w:pPr>
        <w:spacing w:line="360" w:lineRule="auto" w:before="0" w:after="240"/>
        <w:ind w:firstLine="720" w:left="0"/>
        <w:jc w:val="both"/>
      </w:pPr>
      <w:r/>
      <w:r>
        <w:rPr>
          <w:rFonts w:ascii="Times New Roman" w:hAnsi="Times New Roman"/>
          <w:b w:val="0"/>
          <w:i w:val="0"/>
          <w:sz w:val="24"/>
        </w:rPr>
        <w:t>Análisis de relación: El sistema propuesto se alinea directamente con las exigencias de fiscalización y registro de la Ley Orgánica de Minas y las normativas de prevención de legitimación de capitales. Al automatizar la ficha de registro de los contratos prendarios, el software almacena y resguarda de forma segura los datos exigidos para la trazabilidad de los metales adquiridos o recibidos en garantía: peso exacto en gramos, kilataje, descripción detallada del bien y la identificación plenamente verificada del deudor (C.I., firma y huella digital). De esta manera, el sistema asegura que la empresa Inversiones Más Por Tu Oro 17 C.A. mantenga registros fidedignos y auditables que demuestren que los metales custodiados corresponden a piezas de uso personal y comercialización lícita, facilitando la transparencia operativa ante cualquier fiscalización de los entes gubernamentales.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ageBreakBefore/>
        <w:spacing w:before="0" w:after="360"/>
        <w:jc w:val="center"/>
      </w:pPr>
      <w:r>
        <w:rPr>
          <w:rFonts w:ascii="Times New Roman" w:hAnsi="Times New Roman"/>
          <w:b/>
          <w:sz w:val="24"/>
        </w:rPr>
        <w:t>REFERENCIAS</w:t>
      </w:r>
    </w:p>
    <w:p>
      <w:pPr>
        <w:spacing w:before="0" w:after="240"/>
      </w:pPr>
      <w:r/>
    </w:p>
    <w:p>
      <w:pPr>
        <w:spacing w:before="0" w:after="160" w:line="360" w:lineRule="auto"/>
        <w:ind w:left="720" w:hanging="720"/>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spacing w:before="0" w:after="160" w:line="360" w:lineRule="auto"/>
        <w:ind w:left="720" w:hanging="720"/>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spacing w:before="0" w:after="160" w:line="360" w:lineRule="auto"/>
        <w:ind w:left="720" w:hanging="720"/>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spacing w:before="0" w:after="160" w:line="360" w:lineRule="auto"/>
        <w:ind w:left="720" w:hanging="720"/>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spacing w:before="0" w:after="160" w:line="360" w:lineRule="auto"/>
        <w:ind w:left="720" w:hanging="720"/>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spacing w:before="0" w:after="160" w:line="360" w:lineRule="auto"/>
        <w:ind w:left="720" w:hanging="720"/>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spacing w:before="0" w:after="240"/>
      </w:pPr>
      <w:r/>
    </w:p>
    <w:p>
      <w:pPr>
        <w:pStyle w:val="normal1"/>
        <w:spacing w:lineRule="auto" w:line="360"/>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I. DATOS SOCIODEMOGRÁFICOS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Cargo que ocupa: </w:t>
      </w:r>
      <w:r>
        <w:rPr>
          <w:rFonts w:eastAsia="Times New Roman" w:cs="Times New Roman" w:ascii="Times New Roman" w:hAnsi="Times New Roman"/>
          <w:sz w:val="24"/>
          <w:szCs w:val="24"/>
        </w:rPr>
        <w:t>[ ] Gerencia [ ] Administrativo [ ] Operativo/Caja</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Años de experiencia: </w:t>
      </w:r>
      <w:r>
        <w:rPr>
          <w:rFonts w:eastAsia="Times New Roman" w:cs="Times New Roman" w:ascii="Times New Roman" w:hAnsi="Times New Roman"/>
          <w:sz w:val="24"/>
          <w:szCs w:val="24"/>
        </w:rPr>
        <w:t>[ ] Menos de 1 año [ ] 1 a 3 años [ ] Más de 3 años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Nivel Educativo: </w:t>
      </w:r>
      <w:r>
        <w:rPr>
          <w:rFonts w:eastAsia="Times New Roman" w:cs="Times New Roman" w:ascii="Times New Roman" w:hAnsi="Times New Roman"/>
          <w:sz w:val="24"/>
          <w:szCs w:val="24"/>
        </w:rPr>
        <w:t>[ ] Bachiller [ ] TSU [ ] Universitario</w:t>
      </w:r>
    </w:p>
    <w:p>
      <w:pPr>
        <w:pStyle w:val="normal1"/>
        <w:spacing w:lineRule="auto" w:line="360"/>
        <w:rPr/>
      </w:pPr>
      <w:r>
        <w:rPr>
          <w:rFonts w:eastAsia="Times New Roman" w:cs="Times New Roman" w:ascii="Times New Roman" w:hAnsi="Times New Roman"/>
          <w:b/>
          <w:bCs/>
          <w:sz w:val="24"/>
          <w:szCs w:val="24"/>
        </w:rPr>
        <w:t>II. 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9"/>
        <w:gridCol w:w="5201"/>
        <w:gridCol w:w="699"/>
        <w:gridCol w:w="701"/>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jc w:val="both"/>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jc w:val="both"/>
        <w:rPr/>
      </w:pPr>
      <w:r>
        <w:rPr>
          <w:rFonts w:eastAsia="Times New Roman" w:cs="Times New Roman" w:ascii="Times New Roman" w:hAnsi="Times New Roman"/>
          <w:sz w:val="24"/>
          <w:szCs w:val="24"/>
        </w:rPr>
        <w:t>1. Diagnosticar el flujo actual de los datos registrados en hojas de Excel para identificar las fallas críticas en el control de préstamos y compras de metales.</w:t>
      </w:r>
    </w:p>
    <w:p>
      <w:pPr>
        <w:pStyle w:val="normal1"/>
        <w:spacing w:lineRule="auto" w:line="360"/>
        <w:jc w:val="both"/>
        <w:rPr/>
      </w:pPr>
      <w:r>
        <w:rPr>
          <w:rFonts w:eastAsia="Times New Roman" w:cs="Times New Roman" w:ascii="Times New Roman" w:hAnsi="Times New Roman"/>
          <w:sz w:val="24"/>
          <w:szCs w:val="24"/>
        </w:rPr>
        <w:t>2. Determinar los requerimientos funcionales y técnicos del sistema que permitan la automatización precisa de los cálculos de empeño y transacciones.</w:t>
      </w:r>
    </w:p>
    <w:p>
      <w:pPr>
        <w:pStyle w:val="normal1"/>
        <w:spacing w:lineRule="auto" w:line="360"/>
        <w:jc w:val="both"/>
        <w:rPr/>
      </w:pPr>
      <w:r>
        <w:rPr>
          <w:rFonts w:eastAsia="Times New Roman" w:cs="Times New Roman" w:ascii="Times New Roman" w:hAnsi="Times New Roman"/>
          <w:sz w:val="24"/>
          <w:szCs w:val="24"/>
        </w:rPr>
        <w:t>3. Diseñar la arquitectura de la base de datos y las interfaces gráficas de usuario para centralizar la información operativa de la empresa.</w:t>
      </w:r>
    </w:p>
    <w:p>
      <w:pPr>
        <w:pStyle w:val="normal1"/>
        <w:spacing w:lineRule="auto" w:line="360"/>
        <w:jc w:val="both"/>
        <w:rPr/>
      </w:pPr>
      <w:r>
        <w:rPr>
          <w:rFonts w:eastAsia="Times New Roman" w:cs="Times New Roman" w:ascii="Times New Roman" w:hAnsi="Times New Roman"/>
          <w:sz w:val="24"/>
          <w:szCs w:val="24"/>
        </w:rPr>
        <w:t>4. Desarrollar los módulos de registro, consulta y generación de reportes automatizados para optimizar el rendimiento administrativo y la seguridad de los datos.</w:t>
      </w:r>
      <w:r>
        <w:br w:type="page"/>
      </w:r>
    </w:p>
    <w:p>
      <w:pPr>
        <w:pStyle w:val="normal1"/>
        <w:spacing w:lineRule="auto" w:line="3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9"/>
        <w:gridCol w:w="1200"/>
        <w:gridCol w:w="1400"/>
        <w:gridCol w:w="1400"/>
        <w:gridCol w:w="1001"/>
        <w:gridCol w:w="1200"/>
        <w:gridCol w:w="1300"/>
        <w:gridCol w:w="399"/>
        <w:gridCol w:w="1001"/>
      </w:tblGrid>
      <w:tr>
        <w:trPr>
          <w:tblHeader w:val="true"/>
        </w:trPr>
        <w:tc>
          <w:tcPr>
            <w:tcW w:w="14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9"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9"/>
        <w:gridCol w:w="1801"/>
        <w:gridCol w:w="1800"/>
        <w:gridCol w:w="1800"/>
        <w:gridCol w:w="1800"/>
        <w:gridCol w:w="2400"/>
      </w:tblGrid>
      <w:tr>
        <w:trPr>
          <w:tblHeader w:val="true"/>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9"/>
        <w:gridCol w:w="1201"/>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9"/>
        <w:gridCol w:w="901"/>
        <w:gridCol w:w="899"/>
        <w:gridCol w:w="901"/>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Liberation Sans">
    <w:altName w:val="Arial"/>
    <w:charset w:val="01" w:characterSet="utf-8"/>
    <w:family w:val="swiss"/>
    <w:pitch w:val="variable"/>
  </w:font>
  <w:font w:name="Times New Roman">
    <w:charset w:val="01" w:characterSet="utf-8"/>
    <w:family w:val="roman"/>
    <w:pitch w:val="variable"/>
  </w:font>
  <w:font w:name="Wingdings">
    <w:charset w:val="02"/>
    <w:family w:val="auto"/>
    <w:pitch w:val="default"/>
    <w:embedRegular r:id="rId4" w:fontKey="{04014A78-CABC-4EF0-12AC-5CD89AEFDE04}"/>
    <w:embedBold r:id="rId5" w:fontKey="{05014A78-CABC-4EF0-12AC-5CD89AEFDE05}"/>
  </w:font>
  <w:font w:name="Wingdings 2">
    <w:charset w:val="02"/>
    <w:family w:val="auto"/>
    <w:pitch w:val="default"/>
    <w:embedRegular r:id="rId6" w:fontKey="{06014A78-CABC-4EF0-12AC-5CD89AEFDE06}"/>
    <w:embedBold r:id="rId7" w:fontKey="{07014A78-CABC-4EF0-12AC-5CD89AEFDE07}"/>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30</Pages>
  <Words>5432</Words>
  <Characters>32563</Characters>
  <CharactersWithSpaces>37816</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2026-07-06T13:40:50Z</dcterms:modified>
  <cp:revision>1</cp:revision>
  <dc:subject/>
  <dc:title/>
</cp:coreProperties>
</file>