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numbering.xml" ContentType="application/vnd.openxmlformats-officedocument.wordprocessingml.numbering+xml"/>
  <Override PartName="/word/header4.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oter4.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1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drawing>
          <wp:anchor distT="0" distB="0" distL="0" distR="0" simplePos="0" relativeHeight="15"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t>INTRODUCCIÓN  ..................................................   viii</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t>Planteamiento del Problema  .......................................   2</w:t>
      </w:r>
    </w:p>
    <w:p>
      <w:pPr>
        <w:pStyle w:val="normal1"/>
        <w:spacing w:lineRule="auto" w:line="360"/>
        <w:rPr/>
      </w:pPr>
      <w:r>
        <w:rPr/>
        <w:t>Interrogantes de la Investigación  ................................   3</w:t>
      </w:r>
    </w:p>
    <w:p>
      <w:pPr>
        <w:pStyle w:val="normal1"/>
        <w:spacing w:lineRule="auto" w:line="360"/>
        <w:rPr/>
      </w:pPr>
      <w:r>
        <w:rPr/>
        <w:t>Objetivos de la Investigación  ....................................   3</w:t>
      </w:r>
    </w:p>
    <w:p>
      <w:pPr>
        <w:pStyle w:val="normal1"/>
        <w:spacing w:lineRule="auto" w:line="360"/>
        <w:rPr/>
      </w:pPr>
      <w:r>
        <w:rPr/>
        <w:t>Objetivo General  .................................................   3</w:t>
      </w:r>
    </w:p>
    <w:p>
      <w:pPr>
        <w:pStyle w:val="normal1"/>
        <w:spacing w:lineRule="auto" w:line="360"/>
        <w:rPr/>
      </w:pPr>
      <w:r>
        <w:rPr/>
        <w:t>Objetivos Específicos  ............................................   3</w:t>
      </w:r>
    </w:p>
    <w:p>
      <w:pPr>
        <w:pStyle w:val="normal1"/>
        <w:spacing w:lineRule="auto" w:line="360"/>
        <w:rPr/>
      </w:pPr>
      <w:r>
        <w:rPr/>
        <w:t>Justificación de la Investigación  ................................   4</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t>Antecedentes de la Investigación  .................................   5</w:t>
      </w:r>
    </w:p>
    <w:p>
      <w:pPr>
        <w:pStyle w:val="normal1"/>
        <w:spacing w:lineRule="auto" w:line="360"/>
        <w:rPr/>
      </w:pPr>
      <w:r>
        <w:rPr/>
        <w:t>Bases Teóricas  ...................................................   6</w:t>
      </w:r>
    </w:p>
    <w:p>
      <w:pPr>
        <w:pStyle w:val="normal1"/>
        <w:spacing w:lineRule="auto" w:line="360"/>
        <w:rPr/>
      </w:pPr>
      <w:r>
        <w:rPr/>
        <w:t>Bases Legales  ...................................................   10</w:t>
      </w:r>
    </w:p>
    <w:p>
      <w:pPr>
        <w:pStyle w:val="normal1"/>
        <w:spacing w:lineRule="auto" w:line="360"/>
        <w:rPr/>
      </w:pPr>
      <w:r>
        <w:rPr/>
        <w:t>Cuadro de Operacionalización de Variables  .......................   12</w:t>
      </w:r>
    </w:p>
    <w:p>
      <w:pPr>
        <w:pStyle w:val="normal1"/>
        <w:spacing w:lineRule="auto" w:line="360"/>
        <w:rPr/>
      </w:pPr>
      <w:r>
        <w:rPr/>
        <w:t>Sistema de Variables  ............................................   13</w:t>
      </w:r>
    </w:p>
    <w:p>
      <w:pPr>
        <w:pStyle w:val="normal1"/>
        <w:spacing w:lineRule="auto" w:line="360"/>
        <w:rPr/>
      </w:pPr>
      <w:r>
        <w:rPr/>
        <w:t>Definición de Términos Básicos  ..................................   13</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t>Tipo y Diseño de la Investigación  ...............................   15</w:t>
      </w:r>
    </w:p>
    <w:p>
      <w:pPr>
        <w:pStyle w:val="normal1"/>
        <w:spacing w:lineRule="auto" w:line="360"/>
        <w:rPr/>
      </w:pPr>
      <w:r>
        <w:rPr/>
        <w:t>Población y Muestra  .............................................   16</w:t>
      </w:r>
    </w:p>
    <w:p>
      <w:pPr>
        <w:pStyle w:val="normal1"/>
        <w:spacing w:lineRule="auto" w:line="360"/>
        <w:rPr/>
      </w:pPr>
      <w:r>
        <w:rPr/>
        <w:t>Técnicas de Recolección de Datos  ................................   17</w:t>
      </w:r>
    </w:p>
    <w:p>
      <w:pPr>
        <w:pStyle w:val="normal1"/>
        <w:spacing w:lineRule="auto" w:line="360"/>
        <w:rPr/>
      </w:pPr>
      <w:r>
        <w:rPr/>
        <w:t>Instrumentos de Recolección de Datos  ............................   17</w:t>
      </w:r>
    </w:p>
    <w:p>
      <w:pPr>
        <w:pStyle w:val="normal1"/>
        <w:spacing w:lineRule="auto" w:line="360"/>
        <w:rPr/>
      </w:pPr>
      <w:r>
        <w:rPr/>
        <w:t>Validez de los Instrumentos y Confiabilidad  .....................   17</w:t>
      </w:r>
    </w:p>
    <w:p>
      <w:pPr>
        <w:pStyle w:val="normal1"/>
        <w:spacing w:lineRule="auto" w:line="360"/>
        <w:rPr/>
      </w:pPr>
      <w:r>
        <w:rPr/>
        <w:t>Técnica de Análisis de Datos  ....................................   19</w:t>
      </w:r>
    </w:p>
    <w:p>
      <w:pPr>
        <w:pStyle w:val="normal1"/>
        <w:spacing w:lineRule="auto" w:line="360"/>
        <w:rPr/>
      </w:pPr>
      <w:r>
        <w:rPr/>
        <w:t>IV. ANÁLISIS E INTERPRETACIÓN DE LOS RESULTADOS  .................   20</w:t>
      </w:r>
    </w:p>
    <w:p>
      <w:pPr>
        <w:pStyle w:val="normal1"/>
        <w:spacing w:lineRule="auto" w:line="360"/>
        <w:rPr/>
      </w:pPr>
      <w:r>
        <w:rPr/>
        <w:t>Tabulación, Graficación y Análisis de los Resultados  ............   20</w:t>
      </w:r>
    </w:p>
    <w:p>
      <w:pPr>
        <w:pStyle w:val="normal1"/>
        <w:spacing w:lineRule="auto" w:line="360"/>
        <w:rPr/>
      </w:pPr>
      <w:r>
        <w:rPr/>
        <w:t>V.  CONCLUSIONES Y RECOMENDACIONES  ..............................   30</w:t>
      </w:r>
    </w:p>
    <w:p>
      <w:pPr>
        <w:pStyle w:val="normal1"/>
        <w:spacing w:lineRule="auto" w:line="360"/>
        <w:rPr/>
      </w:pPr>
      <w:r>
        <w:rPr/>
        <w:t>VI. LA PROPUESTA  ................................................   32</w:t>
      </w:r>
    </w:p>
    <w:p>
      <w:pPr>
        <w:pStyle w:val="normal1"/>
        <w:spacing w:lineRule="auto" w:line="360"/>
        <w:rPr/>
      </w:pPr>
      <w:r>
        <w:rPr/>
        <w:t>REFERENCIAS  .....................................................   34</w:t>
      </w:r>
    </w:p>
    <w:p>
      <w:pPr>
        <w:pStyle w:val="normal1"/>
        <w:spacing w:lineRule="auto" w:line="360"/>
        <w:rPr/>
      </w:pPr>
      <w:r>
        <w:rPr/>
        <w:t>ANEXOS</w:t>
      </w:r>
    </w:p>
    <w:p>
      <w:pPr>
        <w:pStyle w:val="normal1"/>
        <w:spacing w:lineRule="auto" w:line="360"/>
        <w:rPr/>
      </w:pPr>
      <w:r>
        <w:rPr/>
        <w:t>A. Instrumento de Recolección de los Datos (Cuestionario)  .......   36</w:t>
      </w:r>
    </w:p>
    <w:p>
      <w:pPr>
        <w:pStyle w:val="normal1"/>
        <w:spacing w:lineRule="auto" w:line="360"/>
        <w:rPr>
          <w:rFonts w:ascii="Times New Roman" w:hAnsi="Times New Roman" w:eastAsia="Times New Roman" w:cs="Times New Roman"/>
          <w:sz w:val="24"/>
          <w:szCs w:val="24"/>
        </w:rPr>
      </w:pPr>
      <w:r>
        <w:rPr/>
        <w:t xml:space="preserve">B. </w:t>
      </w:r>
      <w:r>
        <w:rPr>
          <w:rFonts w:eastAsia="Times New Roman" w:cs="Times New Roman" w:ascii="Times New Roman" w:hAnsi="Times New Roman"/>
          <w:b w:val="false"/>
          <w:bCs w:val="false"/>
          <w:sz w:val="24"/>
        </w:rPr>
        <w:t>Validación por Juicio de Expertos</w:t>
      </w:r>
      <w:r>
        <w:rPr>
          <w:b w:val="false"/>
          <w:bCs w:val="false"/>
        </w:rPr>
        <w:t xml:space="preserve"> </w:t>
      </w:r>
      <w:r>
        <w:rPr/>
        <w:t>.............................   38</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drawing>
          <wp:anchor distT="0" distB="0" distL="114300" distR="114300" simplePos="0" relativeHeight="16"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Determinar los requerimientos técnicos y funcionales del sistema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Diseñar la arquitectura lógica, base de datos relacional e interfaces.</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Desarrollar e implementar el sistema de información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b/>
        </w:rPr>
        <w:t>Cálculo del Coeficiente KR-20:</w:t>
      </w:r>
    </w:p>
    <w:p>
      <w:pPr>
        <w:pStyle w:val="normal1"/>
        <w:jc w:val="start"/>
        <w:rPr/>
      </w:pPr>
      <w:r>
        <w:rPr>
          <w:rFonts w:ascii="Times New Roman" w:hAnsi="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jc w:val="both"/>
        <w:rPr>
          <w:rFonts w:ascii="Times New Roman" w:hAnsi="Times New Roman"/>
          <w:b/>
          <w:sz w:val="24"/>
        </w:rPr>
      </w:pPr>
      <w:r>
        <w:rPr>
          <w:rFonts w:ascii="Times New Roman" w:hAnsi="Times New Roman"/>
          <w:b/>
          <w:sz w:val="24"/>
        </w:rPr>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Style w:val="normal1"/>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spacing w:lineRule="auto" w:line="360" w:before="0" w:after="120"/>
        <w:ind w:hanging="0" w:start="0"/>
        <w:jc w:val="start"/>
        <w:rPr/>
      </w:pPr>
      <w:r>
        <w:rPr>
          <w:rFonts w:eastAsia="Times New Roman" w:cs="Times New Roman" w:ascii="Times New Roman" w:hAnsi="Times New Roman"/>
          <w:b/>
          <w:sz w:val="24"/>
        </w:rPr>
        <w:t>Ítem 1. ¿Considera que el estado actual de los archivos de Excel permite la integración y cruce eficiente de los datos de la empresa?</w:t>
      </w:r>
    </w:p>
    <w:p>
      <w:pPr>
        <w:pStyle w:val="normal1"/>
        <w:spacing w:lineRule="auto" w:line="360" w:before="0" w:after="120"/>
        <w:ind w:hanging="0" w:start="0"/>
        <w:jc w:val="center"/>
        <w:rPr/>
      </w:pPr>
      <w:r>
        <w:rPr>
          <w:rFonts w:eastAsia="Times New Roman" w:cs="Times New Roman" w:ascii="Times New Roman" w:hAnsi="Times New Roman"/>
          <w:b w:val="false"/>
          <w:sz w:val="24"/>
        </w:rPr>
        <w:t>Cuadro 1</w:t>
        <w:b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i/>
          <w:iCs/>
          <w:sz w:val="24"/>
        </w:rPr>
      </w:pPr>
      <w:r>
        <w:rPr>
          <w:rFonts w:eastAsia="Times New Roman" w:cs="Times New Roman" w:ascii="Times New Roman" w:hAnsi="Times New Roman"/>
          <w:b/>
          <w:i/>
          <w:iCs/>
          <w:sz w:val="24"/>
        </w:rPr>
        <w:drawing>
          <wp:anchor distT="0" distB="0" distL="0" distR="0" simplePos="0" relativeHeight="17" behindDoc="0" locked="0" layoutInCell="0" allowOverlap="1">
            <wp:simplePos x="0" y="0"/>
            <wp:positionH relativeFrom="column">
              <wp:posOffset>782955</wp:posOffset>
            </wp:positionH>
            <wp:positionV relativeFrom="paragraph">
              <wp:posOffset>38735</wp:posOffset>
            </wp:positionV>
            <wp:extent cx="3545205" cy="253238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anchor>
        </w:drawing>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Rule="auto" w:line="360" w:before="0" w:after="120"/>
        <w:ind w:firstLine="720" w:start="0"/>
        <w:jc w:val="both"/>
        <w:rPr/>
      </w:pPr>
      <w:r>
        <w:rPr>
          <w:rFonts w:eastAsia="Times New Roman" w:cs="Times New Roman" w:ascii="Times New Roman" w:hAnsi="Times New Roman"/>
          <w:b w:val="false"/>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spacing w:lineRule="auto" w:line="360" w:before="0" w:after="120"/>
        <w:ind w:hanging="0" w:start="0"/>
        <w:jc w:val="start"/>
        <w:rPr/>
      </w:pPr>
      <w:r>
        <w:rPr>
          <w:rFonts w:eastAsia="Times New Roman" w:cs="Times New Roman" w:ascii="Times New Roman" w:hAnsi="Times New Roman"/>
          <w:b/>
          <w:sz w:val="24"/>
        </w:rPr>
        <w:t>Ítem 2. ¿El tiempo de respuesta manual afecta la productividad?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2</w:t>
        <w:b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2964180" cy="211709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Rule="auto" w:line="360" w:before="0" w:after="120"/>
        <w:ind w:firstLine="720" w:start="0"/>
        <w:jc w:val="both"/>
        <w:rPr/>
      </w:pPr>
      <w:r>
        <w:rPr>
          <w:rFonts w:eastAsia="Times New Roman" w:cs="Times New Roman" w:ascii="Times New Roman" w:hAnsi="Times New Roman"/>
          <w:b w:val="false"/>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spacing w:lineRule="auto" w:line="360" w:before="0" w:after="120"/>
        <w:ind w:hanging="0" w:start="0"/>
        <w:jc w:val="start"/>
        <w:rPr/>
      </w:pPr>
      <w:r>
        <w:rPr>
          <w:rFonts w:eastAsia="Times New Roman" w:cs="Times New Roman" w:ascii="Times New Roman" w:hAnsi="Times New Roman"/>
          <w:b/>
          <w:sz w:val="24"/>
        </w:rPr>
        <w:t>Ítem 3. ¿Se han registrado discrepancias o inconsistencias en los cálculos de intereses y fechas de vencimiento bajo la modalidad manual?</w:t>
      </w:r>
      <w:r>
        <w:rPr>
          <w:rFonts w:eastAsia="Times New Roman" w:cs="Times New Roman" w:ascii="Times New Roman" w:hAnsi="Times New Roman"/>
          <w:b w:val="false"/>
          <w:sz w:val="24"/>
        </w:rPr>
        <w:t>Cuadro 3</w:t>
        <w:b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9" behindDoc="0" locked="0" layoutInCell="0" allowOverlap="1">
            <wp:simplePos x="0" y="0"/>
            <wp:positionH relativeFrom="column">
              <wp:posOffset>902335</wp:posOffset>
            </wp:positionH>
            <wp:positionV relativeFrom="paragraph">
              <wp:posOffset>37465</wp:posOffset>
            </wp:positionV>
            <wp:extent cx="3397250" cy="242633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Ítem 4. ¿Dispone la empresa de mecanismos automatizados de respaldo para proteger la información frente a fallos del sistema o sobreescrituras?</w:t>
      </w:r>
    </w:p>
    <w:p>
      <w:pPr>
        <w:pStyle w:val="normal1"/>
        <w:spacing w:lineRule="auto" w:line="360" w:before="0" w:after="120"/>
        <w:ind w:hanging="0" w:start="0"/>
        <w:jc w:val="center"/>
        <w:rPr/>
      </w:pPr>
      <w:r>
        <w:rPr>
          <w:rFonts w:eastAsia="Times New Roman" w:cs="Times New Roman" w:ascii="Times New Roman" w:hAnsi="Times New Roman"/>
          <w:b w:val="false"/>
          <w:sz w:val="24"/>
        </w:rPr>
        <w:t>Cuadro 4</w:t>
        <w:b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3723640" cy="26600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spacing w:lineRule="auto" w:line="360" w:before="0" w:after="120"/>
        <w:ind w:hanging="0" w:start="0"/>
        <w:jc w:val="start"/>
        <w:rPr/>
      </w:pPr>
      <w:r>
        <w:rPr>
          <w:rFonts w:eastAsia="Times New Roman" w:cs="Times New Roman" w:ascii="Times New Roman" w:hAnsi="Times New Roman"/>
          <w:b/>
          <w:sz w:val="24"/>
        </w:rPr>
        <w:t>Ítem 5. ¿Es fundamental un sistema centralizado para la trazabilidad?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5</w:t>
        <w:b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0"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spacing w:lineRule="auto" w:line="360" w:before="0" w:after="120"/>
        <w:ind w:hanging="0" w:start="0"/>
        <w:jc w:val="start"/>
        <w:rPr/>
      </w:pPr>
      <w:r>
        <w:rPr>
          <w:rFonts w:eastAsia="Times New Roman" w:cs="Times New Roman" w:ascii="Times New Roman" w:hAnsi="Times New Roman"/>
          <w:b/>
          <w:sz w:val="24"/>
        </w:rPr>
        <w:t>Ítem 6. ¿Deben las interfaces ser intuitivas para facilitar el uso?</w:t>
      </w:r>
    </w:p>
    <w:p>
      <w:pPr>
        <w:pStyle w:val="normal1"/>
        <w:spacing w:lineRule="auto" w:line="360" w:before="0" w:after="120"/>
        <w:ind w:hanging="0" w:start="0"/>
        <w:jc w:val="center"/>
        <w:rPr/>
      </w:pPr>
      <w:r>
        <w:rPr>
          <w:rFonts w:eastAsia="Times New Roman" w:cs="Times New Roman" w:ascii="Times New Roman" w:hAnsi="Times New Roman"/>
          <w:b w:val="false"/>
          <w:sz w:val="24"/>
        </w:rPr>
        <w:t>Cuadro 6</w:t>
        <w:b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1"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Rule="auto" w:line="360" w:before="0" w:after="120"/>
        <w:ind w:firstLine="720" w:start="0"/>
        <w:jc w:val="both"/>
        <w:rPr/>
      </w:pPr>
      <w:r>
        <w:rPr>
          <w:rFonts w:eastAsia="Times New Roman" w:cs="Times New Roman" w:ascii="Times New Roman" w:hAnsi="Times New Roman"/>
          <w:b w:val="false"/>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spacing w:lineRule="auto" w:line="360" w:before="0" w:after="120"/>
        <w:ind w:hanging="0" w:start="0"/>
        <w:jc w:val="start"/>
        <w:rPr/>
      </w:pPr>
      <w:r>
        <w:rPr>
          <w:rFonts w:eastAsia="Times New Roman" w:cs="Times New Roman" w:ascii="Times New Roman" w:hAnsi="Times New Roman"/>
          <w:b/>
          <w:sz w:val="24"/>
        </w:rPr>
        <w:t>Ítem 7. ¿Requiere reportes administrativos automáticos para gerencia?</w:t>
      </w:r>
    </w:p>
    <w:p>
      <w:pPr>
        <w:pStyle w:val="normal1"/>
        <w:spacing w:lineRule="auto" w:line="360" w:before="0" w:after="120"/>
        <w:ind w:hanging="0" w:start="0"/>
        <w:jc w:val="center"/>
        <w:rPr/>
      </w:pPr>
      <w:r>
        <w:rPr>
          <w:rFonts w:eastAsia="Times New Roman" w:cs="Times New Roman" w:ascii="Times New Roman" w:hAnsi="Times New Roman"/>
          <w:b w:val="false"/>
          <w:sz w:val="24"/>
        </w:rPr>
        <w:t>Cuadro 7</w:t>
        <w:b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2"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Rule="auto" w:line="360" w:before="0" w:after="120"/>
        <w:ind w:firstLine="720" w:start="0"/>
        <w:jc w:val="both"/>
        <w:rPr/>
      </w:pPr>
      <w:r>
        <w:rPr>
          <w:rFonts w:eastAsia="Times New Roman" w:cs="Times New Roman" w:ascii="Times New Roman" w:hAnsi="Times New Roman"/>
          <w:b w:val="false"/>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spacing w:lineRule="auto" w:line="360" w:before="0" w:after="120"/>
        <w:ind w:hanging="0" w:start="0"/>
        <w:jc w:val="start"/>
        <w:rPr/>
      </w:pPr>
      <w:r>
        <w:rPr>
          <w:rFonts w:eastAsia="Times New Roman" w:cs="Times New Roman" w:ascii="Times New Roman" w:hAnsi="Times New Roman"/>
          <w:b/>
          <w:sz w:val="24"/>
        </w:rPr>
        <w:t>Ítem 8. ¿Es la automatización de consultas esencial para el flujo de trabajo?</w:t>
      </w:r>
    </w:p>
    <w:p>
      <w:pPr>
        <w:pStyle w:val="normal1"/>
        <w:spacing w:lineRule="auto" w:line="360" w:before="0" w:after="120"/>
        <w:ind w:hanging="0" w:start="0"/>
        <w:jc w:val="center"/>
        <w:rPr/>
      </w:pPr>
      <w:r>
        <w:rPr>
          <w:rFonts w:eastAsia="Times New Roman" w:cs="Times New Roman" w:ascii="Times New Roman" w:hAnsi="Times New Roman"/>
          <w:b w:val="false"/>
          <w:sz w:val="24"/>
        </w:rPr>
        <w:t>Cuadro 8</w:t>
        <w:b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4"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r>
        <w:br w:type="page"/>
      </w:r>
    </w:p>
    <w:p>
      <w:pPr>
        <w:pStyle w:val="normal1"/>
        <w:spacing w:lineRule="auto" w:line="360" w:before="0" w:after="160"/>
        <w:jc w:val="center"/>
        <w:rPr/>
      </w:pPr>
      <w:r>
        <w:rPr>
          <w:rFonts w:ascii="Times New Roman" w:hAnsi="Times New Roman"/>
          <w:b/>
          <w:sz w:val="24"/>
        </w:rPr>
        <w:t>CAPÍTULO V</w:t>
      </w:r>
    </w:p>
    <w:p>
      <w:pPr>
        <w:pStyle w:val="normal1"/>
        <w:spacing w:lineRule="auto" w:line="360"/>
        <w:jc w:val="center"/>
        <w:rPr/>
      </w:pPr>
      <w:r>
        <w:rPr>
          <w:rFonts w:ascii="Times New Roman" w:hAnsi="Times New Roman"/>
          <w:b/>
          <w:sz w:val="24"/>
        </w:rPr>
        <w:t>CONCLUSIONES Y RECOMENDACIONES</w:t>
      </w:r>
    </w:p>
    <w:p>
      <w:pPr>
        <w:pStyle w:val="normal1"/>
        <w:spacing w:lineRule="auto" w:line="360"/>
        <w:jc w:val="start"/>
        <w:rPr/>
      </w:pPr>
      <w:r>
        <w:rPr>
          <w:rFonts w:ascii="Times New Roman" w:hAnsi="Times New Roman"/>
          <w:b/>
          <w:sz w:val="24"/>
        </w:rPr>
        <w:t>Conclusiones</w:t>
      </w:r>
    </w:p>
    <w:p>
      <w:pPr>
        <w:pStyle w:val="normal1"/>
        <w:spacing w:lineRule="auto" w:line="360"/>
        <w:ind w:firstLine="720"/>
        <w:jc w:val="both"/>
        <w:rPr/>
      </w:pPr>
      <w:r>
        <w:rPr>
          <w:rFonts w:ascii="Times New Roman" w:hAnsi="Times New Roman"/>
          <w:sz w:val="24"/>
        </w:rPr>
        <w:t>En función del diagnóstico realizado sobre la situación actual de los procesos de registro, control de inventario y atención al cliente en la empresa Inversiones Más Por Tu Oro 17 C.A., se concluye que existe una deficiencia operativa total. La homogeneidad absoluta (100% de consenso) en las respuestas emitidas por la gerencia y administración reflejó que el uso exclusivo de hojas de cálculo de Excel vulnera la seguridad del inventario y ocasiona una significativa pérdida de tiempo en el cálculo manual de intereses de préstamos prendarios.</w:t>
      </w:r>
    </w:p>
    <w:p>
      <w:pPr>
        <w:pStyle w:val="normal1"/>
        <w:spacing w:lineRule="auto" w:line="360"/>
        <w:ind w:firstLine="720"/>
        <w:jc w:val="both"/>
        <w:rPr/>
      </w:pPr>
      <w:r>
        <w:rPr>
          <w:rFonts w:ascii="Times New Roman" w:hAnsi="Times New Roman"/>
          <w:sz w:val="24"/>
        </w:rPr>
        <w:t>En cuanto a los requerimientos técnicos y funcionales necesarios para la automatización, se determinó que la institución requiere con carácter de urgencia la implementación de una base de datos relacional centralizada. Funcionalmente, se precisó la necesidad de contar con perfiles de acceso escalonados (Gerente, Administrador, Cajero) y módulos independientes que separen la gestión de mercancía en metales (oro y plata) del control contractual de los pactos de retracto.</w:t>
      </w:r>
    </w:p>
    <w:p>
      <w:pPr>
        <w:pStyle w:val="normal1"/>
        <w:spacing w:lineRule="auto" w:line="360"/>
        <w:ind w:firstLine="720"/>
        <w:jc w:val="both"/>
        <w:rPr/>
      </w:pPr>
      <w:r>
        <w:rPr>
          <w:rFonts w:ascii="Times New Roman" w:hAnsi="Times New Roman"/>
          <w:sz w:val="24"/>
        </w:rPr>
        <w:t>Respecto al diseño de la arquitectura lógica e interfaces del sistema, se concluye que el modelo de datos relacional propuesto (mediante tecnologías de bases de datos avanzadas como PostgreSQL) resuelve íntegramente el nudo crítico del negocio. La parametrización de las variables financieras en la base de datos permite automatizar de forma precisa y exenta de errores los ciclos de interés, la gestión de deudores y la tasación de metales según su pureza, garantizando la centralización y seguridad de las operaciones comerciales.</w:t>
      </w:r>
    </w:p>
    <w:p>
      <w:pPr>
        <w:pStyle w:val="normal1"/>
        <w:spacing w:lineRule="auto" w:line="360"/>
        <w:ind w:firstLine="720"/>
        <w:jc w:val="both"/>
        <w:rPr/>
      </w:pPr>
      <w:r>
        <w:rPr>
          <w:rFonts w:ascii="Times New Roman" w:hAnsi="Times New Roman"/>
          <w:sz w:val="24"/>
        </w:rPr>
        <w:t>Finalmente, con relación al desarrollo e implementación del sistema de información web propuesto, se concluye que dicha plataforma optimiza de forma radical el tiempo de respuesta y la confiabilidad operativa de Inversiones Más Por Tu Oro 17 C.A. La sistematización permite llevar un control estricto de las fuentes de capital, las liquidaciones y el cierre diario de cajas, brindando así un ecosistema tecnológico seguro, auditable y escalable para la toma de decisiones empresariales.</w:t>
      </w:r>
    </w:p>
    <w:p>
      <w:pPr>
        <w:pStyle w:val="normal1"/>
        <w:spacing w:lineRule="auto" w:line="360"/>
        <w:ind w:firstLine="720"/>
        <w:jc w:val="both"/>
        <w:rPr/>
      </w:pPr>
      <w:r>
        <w:rPr/>
      </w:r>
    </w:p>
    <w:p>
      <w:pPr>
        <w:pStyle w:val="normal1"/>
        <w:spacing w:lineRule="auto" w:line="360"/>
        <w:jc w:val="start"/>
        <w:rPr/>
      </w:pPr>
      <w:r>
        <w:rPr>
          <w:rFonts w:ascii="Times New Roman" w:hAnsi="Times New Roman"/>
          <w:b/>
          <w:sz w:val="24"/>
        </w:rPr>
        <w:t>Recomendaciones</w:t>
      </w:r>
    </w:p>
    <w:p>
      <w:pPr>
        <w:pStyle w:val="normal1"/>
        <w:spacing w:lineRule="auto" w:line="360"/>
        <w:ind w:firstLine="720"/>
        <w:jc w:val="both"/>
        <w:rPr/>
      </w:pPr>
      <w:r>
        <w:rPr>
          <w:rFonts w:ascii="Times New Roman" w:hAnsi="Times New Roman"/>
          <w:sz w:val="24"/>
        </w:rPr>
        <w:t>A partir de las conclusiones formuladas y considerando el impacto directo de la investigación sobre Inversiones Más Por Tu Oro 17 C.A., se plantean las siguientes recomendaciones:</w:t>
      </w:r>
    </w:p>
    <w:p>
      <w:pPr>
        <w:pStyle w:val="normal1"/>
        <w:spacing w:lineRule="auto" w:line="360"/>
        <w:ind w:firstLine="720"/>
        <w:jc w:val="both"/>
        <w:rPr/>
      </w:pPr>
      <w:r>
        <w:rPr>
          <w:rFonts w:ascii="Times New Roman" w:hAnsi="Times New Roman"/>
          <w:sz w:val="24"/>
        </w:rPr>
        <w:t>Se recomienda formalizar de manera inmediata la adopción del software web desarrollado para la ejecución de las operaciones diarias de la empresa, reemplazando el uso de archivos de Excel como medida primaria para mitigar riesgos de seguridad y pérdida de información de los clientes.</w:t>
      </w:r>
    </w:p>
    <w:p>
      <w:pPr>
        <w:pStyle w:val="normal1"/>
        <w:spacing w:lineRule="auto" w:line="360"/>
        <w:ind w:firstLine="720"/>
        <w:jc w:val="both"/>
        <w:rPr/>
      </w:pPr>
      <w:r>
        <w:rPr>
          <w:rFonts w:ascii="Times New Roman" w:hAnsi="Times New Roman"/>
          <w:sz w:val="24"/>
        </w:rPr>
        <w:t>Ejecutar un taller de capacitación técnica e inducción al cambio dirigido al Gerente, el Administrador y el Cajero de la institución, con el fin de garantizar el correcto dominio de las funciones del nuevo sistema, la asignación de permisos según sus roles y el manejo del módulo de empeños (pactos de retracto).</w:t>
      </w:r>
    </w:p>
    <w:p>
      <w:pPr>
        <w:pStyle w:val="normal1"/>
        <w:spacing w:lineRule="auto" w:line="360"/>
        <w:ind w:firstLine="720"/>
        <w:jc w:val="both"/>
        <w:rPr/>
      </w:pPr>
      <w:r>
        <w:rPr>
          <w:rFonts w:ascii="Times New Roman" w:hAnsi="Times New Roman"/>
          <w:sz w:val="24"/>
        </w:rPr>
        <w:t>Realizar un respaldo (backup) íntegro de la data histórica manejada en los libros de Excel actuales, para posteriormente efectuar una migración de datos estructurada hacia la nueva base de datos relacional, asegurando la continuidad del negocio y el seguimiento ininterrumpido de las deudas monetarias activas.</w:t>
      </w:r>
    </w:p>
    <w:p>
      <w:pPr>
        <w:pStyle w:val="normal1"/>
        <w:spacing w:lineRule="auto" w:line="360"/>
        <w:ind w:firstLine="720"/>
        <w:jc w:val="both"/>
        <w:rPr/>
      </w:pPr>
      <w:r>
        <w:rPr>
          <w:rFonts w:ascii="Times New Roman" w:hAnsi="Times New Roman"/>
          <w:sz w:val="24"/>
        </w:rPr>
        <w:t>Establecer políticas obligatorias de mantenimiento preventivo y de copias de seguridad de las bases de datos del sistema, recomendando el uso de servicios en la nube para proteger la información vital relacionada con la identidad de los clientes y las liquidaciones de las fuentes de capital.</w:t>
      </w:r>
    </w:p>
    <w:p>
      <w:pPr>
        <w:pStyle w:val="normal1"/>
        <w:rPr/>
      </w:pPr>
      <w:r>
        <w:rPr/>
      </w:r>
      <w:r>
        <w:br w:type="page"/>
      </w:r>
    </w:p>
    <w:p>
      <w:pPr>
        <w:pStyle w:val="normal1"/>
        <w:spacing w:lineRule="auto" w:line="360" w:before="0" w:after="160"/>
        <w:jc w:val="center"/>
        <w:rPr/>
      </w:pPr>
      <w:r>
        <w:rPr>
          <w:rFonts w:ascii="Times New Roman" w:hAnsi="Times New Roman"/>
          <w:b/>
          <w:sz w:val="24"/>
        </w:rPr>
        <w:t>CAPÍTULO VI</w:t>
      </w:r>
    </w:p>
    <w:p>
      <w:pPr>
        <w:pStyle w:val="normal1"/>
        <w:spacing w:lineRule="auto" w:line="360"/>
        <w:jc w:val="center"/>
        <w:rPr/>
      </w:pPr>
      <w:r>
        <w:rPr>
          <w:rFonts w:ascii="Times New Roman" w:hAnsi="Times New Roman"/>
          <w:b/>
          <w:sz w:val="24"/>
        </w:rPr>
        <w:t>LA PROPUESTA</w:t>
      </w:r>
    </w:p>
    <w:p>
      <w:pPr>
        <w:pStyle w:val="normal1"/>
        <w:spacing w:lineRule="auto" w:line="360"/>
        <w:jc w:val="start"/>
        <w:rPr/>
      </w:pPr>
      <w:r>
        <w:rPr>
          <w:rFonts w:ascii="Times New Roman" w:hAnsi="Times New Roman"/>
          <w:b/>
          <w:sz w:val="24"/>
        </w:rPr>
        <w:t>Presentación y Justificación</w:t>
      </w:r>
    </w:p>
    <w:p>
      <w:pPr>
        <w:pStyle w:val="normal1"/>
        <w:spacing w:lineRule="auto" w:line="360"/>
        <w:ind w:firstLine="720"/>
        <w:jc w:val="both"/>
        <w:rPr/>
      </w:pPr>
      <w:r>
        <w:rPr>
          <w:rFonts w:ascii="Times New Roman" w:hAnsi="Times New Roman"/>
          <w:sz w:val="24"/>
        </w:rPr>
        <w:t>La propuesta técnica consiste en la implementación del "Sistema de Información para la Gestión de Inventario y Control de Préstamos Prendarios", desarrollado a medida para Inversiones Más Por Tu Oro 17 C.A. Esta solución tecnológica se justifica por la necesidad apremiante de abandonar los procesos manuales y el manejo fragmentado de la información en archivos de Excel, factores que representaban un riesgo crítico para la seguridad de los datos financieros y la agilidad de atención al cliente.</w:t>
      </w:r>
    </w:p>
    <w:p>
      <w:pPr>
        <w:pStyle w:val="normal1"/>
        <w:spacing w:lineRule="auto" w:line="360"/>
        <w:jc w:val="start"/>
        <w:rPr/>
      </w:pPr>
      <w:r>
        <w:rPr>
          <w:rFonts w:ascii="Times New Roman" w:hAnsi="Times New Roman"/>
          <w:b/>
          <w:sz w:val="24"/>
        </w:rPr>
        <w:t>Objetivos de la Propuesta</w:t>
      </w:r>
    </w:p>
    <w:p>
      <w:pPr>
        <w:pStyle w:val="normal1"/>
        <w:spacing w:lineRule="auto" w:line="360"/>
        <w:ind w:firstLine="720"/>
        <w:jc w:val="both"/>
        <w:rPr/>
      </w:pPr>
      <w:r>
        <w:rPr>
          <w:rFonts w:ascii="Times New Roman" w:hAnsi="Times New Roman"/>
          <w:sz w:val="24"/>
        </w:rPr>
        <w:t>El objetivo principal de esta propuesta es proveer a la empresa de una plataforma web centralizada que automatice el registro de transacciones, cálculos de interés, y control de inventario de metales preciosos (oro y plata). Entre los objetivos específicos destacan: mitigar los errores humanos en el cálculo de los pactos de retracto, estructurar una base de datos segura y auditable, y facilitar la emisión de reportes gerenciales en tiempo real.</w:t>
      </w:r>
    </w:p>
    <w:p>
      <w:pPr>
        <w:pStyle w:val="normal1"/>
        <w:spacing w:lineRule="auto" w:line="360"/>
        <w:jc w:val="start"/>
        <w:rPr/>
      </w:pPr>
      <w:r>
        <w:rPr>
          <w:rFonts w:ascii="Times New Roman" w:hAnsi="Times New Roman"/>
          <w:b/>
          <w:sz w:val="24"/>
        </w:rPr>
        <w:t>Fundamentación y Factibilidad</w:t>
      </w:r>
    </w:p>
    <w:p>
      <w:pPr>
        <w:pStyle w:val="normal1"/>
        <w:spacing w:lineRule="auto" w:line="360"/>
        <w:ind w:firstLine="720"/>
        <w:jc w:val="both"/>
        <w:rPr>
          <w:rFonts w:ascii="Times New Roman" w:hAnsi="Times New Roman"/>
          <w:sz w:val="24"/>
        </w:rPr>
      </w:pPr>
      <w:r>
        <w:rPr>
          <w:rFonts w:ascii="Times New Roman" w:hAnsi="Times New Roman"/>
          <w:sz w:val="24"/>
        </w:rPr>
        <w:t>Desde la perspectiva de factibilidad técnica, el sistema fue desarrollado bajo un entorno de despliegue en la nube. La factibilidad operativa queda garantizada dado que el diseño de las interfaces es altamente intuitivo, lo que facilita la curva de aprendizaje de los usuarios (Gerente, Administrador, Cajero). A nivel económico, la utilización de herramientas de código abierto y repositorios en GitHub reduce sustancialmente los costos de licenciamiento, haciendo viable su implementación inmediata.</w:t>
      </w:r>
    </w:p>
    <w:p>
      <w:pPr>
        <w:pStyle w:val="normal1"/>
        <w:spacing w:lineRule="auto" w:line="360"/>
        <w:ind w:firstLine="720"/>
        <w:jc w:val="both"/>
        <w:rPr>
          <w:rFonts w:ascii="Times New Roman" w:hAnsi="Times New Roman"/>
          <w:sz w:val="24"/>
        </w:rPr>
      </w:pPr>
      <w:r>
        <w:rPr>
          <w:rFonts w:ascii="Times New Roman" w:hAnsi="Times New Roman"/>
          <w:sz w:val="24"/>
        </w:rPr>
      </w:r>
    </w:p>
    <w:p>
      <w:pPr>
        <w:pStyle w:val="normal1"/>
        <w:spacing w:lineRule="auto" w:line="360"/>
        <w:ind w:firstLine="720"/>
        <w:jc w:val="both"/>
        <w:rPr>
          <w:rFonts w:ascii="Times New Roman" w:hAnsi="Times New Roman"/>
          <w:sz w:val="24"/>
        </w:rPr>
      </w:pPr>
      <w:r>
        <w:rPr>
          <w:rFonts w:ascii="Times New Roman" w:hAnsi="Times New Roman"/>
          <w:sz w:val="24"/>
        </w:rPr>
      </w:r>
    </w:p>
    <w:p>
      <w:pPr>
        <w:pStyle w:val="normal1"/>
        <w:spacing w:lineRule="auto" w:line="360"/>
        <w:jc w:val="start"/>
        <w:rPr/>
      </w:pPr>
      <w:r>
        <w:rPr>
          <w:rFonts w:ascii="Times New Roman" w:hAnsi="Times New Roman"/>
          <w:b/>
          <w:sz w:val="24"/>
        </w:rPr>
        <w:t>Estructura y Desarrollo del Sistema</w:t>
      </w:r>
    </w:p>
    <w:p>
      <w:pPr>
        <w:pStyle w:val="normal1"/>
        <w:spacing w:lineRule="auto" w:line="360"/>
        <w:ind w:firstLine="720"/>
        <w:jc w:val="both"/>
        <w:rPr/>
      </w:pPr>
      <w:r>
        <w:rPr>
          <w:rFonts w:ascii="Times New Roman" w:hAnsi="Times New Roman"/>
          <w:sz w:val="24"/>
        </w:rPr>
        <w:t>La arquitectura del software está compuesta por un modelo cliente-servidor, donde el repositorio de backend administra la lógica de negocio, las reglas financieras de los empeños y la conexión a la base de datos relacional. El repositorio de frontend gestiona la interfaz gráfica de usuario. Ambos repositorios se integran para proporcionar un entorno seguro y escalable, permitiendo a la gerencia auditar entradas, salidas y liquidaciones diarias con precisión absoluta.</w:t>
      </w:r>
    </w:p>
    <w:p>
      <w:pPr>
        <w:pStyle w:val="normal1"/>
        <w:rPr/>
      </w:pPr>
      <w:r>
        <w:rPr/>
      </w:r>
      <w:r>
        <w:br w:type="page"/>
      </w:r>
    </w:p>
    <w:p>
      <w:pPr>
        <w:pStyle w:val="normal1"/>
        <w:spacing w:before="0" w:after="360"/>
        <w:jc w:val="center"/>
        <w:rPr/>
      </w:pPr>
      <w:r>
        <w:rPr>
          <w:rFonts w:eastAsia="Times New Roman" w:cs="Times New Roman" w:ascii="Times New Roman" w:hAnsi="Times New Roman"/>
          <w:b/>
          <w:sz w:val="24"/>
        </w:rPr>
        <w:t>REFERENCIAS</w:t>
      </w:r>
    </w:p>
    <w:p>
      <w:pPr>
        <w:pStyle w:val="normal1"/>
        <w:spacing w:lineRule="auto" w:line="360" w:before="0" w:after="120"/>
        <w:ind w:hanging="720" w:start="720"/>
        <w:jc w:val="start"/>
        <w:rPr/>
      </w:pPr>
      <w:r>
        <w:rPr>
          <w:rFonts w:eastAsia="Times New Roman" w:cs="Times New Roman" w:ascii="Times New Roman" w:hAnsi="Times New Roman"/>
          <w:sz w:val="24"/>
        </w:rPr>
        <w:t>Arias, F. (2012). El Proyecto de Investigación: Introducción a la Metodología Científica (6ta ed.). Editorial Episteme.</w:t>
      </w:r>
    </w:p>
    <w:p>
      <w:pPr>
        <w:pStyle w:val="normal1"/>
        <w:spacing w:lineRule="auto" w:line="360" w:before="0" w:after="120"/>
        <w:ind w:hanging="720" w:start="720"/>
        <w:jc w:val="start"/>
        <w:rPr/>
      </w:pPr>
      <w:r>
        <w:rPr>
          <w:rFonts w:eastAsia="Times New Roman" w:cs="Times New Roman" w:ascii="Times New Roman" w:hAnsi="Times New Roman"/>
          <w:sz w:val="24"/>
        </w:rPr>
        <w:t>Asamblea Nacional Constituyente. (1999). Constitución de la República Bolivariana de Venezuela. Gaceta Oficial de la República Bolivariana de Venezuela, 5.453 (Extraordinario), marzo 24, 2000.</w:t>
      </w:r>
    </w:p>
    <w:p>
      <w:pPr>
        <w:pStyle w:val="normal1"/>
        <w:spacing w:lineRule="auto" w:line="360" w:before="0" w:after="120"/>
        <w:ind w:hanging="720" w:start="720"/>
        <w:jc w:val="start"/>
        <w:rPr/>
      </w:pPr>
      <w:r>
        <w:rPr>
          <w:rFonts w:eastAsia="Times New Roman" w:cs="Times New Roman" w:ascii="Times New Roman" w:hAnsi="Times New Roman"/>
          <w:sz w:val="24"/>
        </w:rPr>
        <w:t>Asamblea Nacional de la República Bolivariana de Venezuela. (2001). Ley Especial Contra los Delitos Informáticos. Gaceta Oficial de la República Bolivariana de Venezuela, 37.313, octubre 30, 2001.</w:t>
      </w:r>
    </w:p>
    <w:p>
      <w:pPr>
        <w:pStyle w:val="normal1"/>
        <w:spacing w:lineRule="auto" w:line="360" w:before="0" w:after="120"/>
        <w:ind w:hanging="720" w:start="720"/>
        <w:jc w:val="start"/>
        <w:rPr/>
      </w:pPr>
      <w:r>
        <w:rPr>
          <w:rFonts w:eastAsia="Times New Roman" w:cs="Times New Roman" w:ascii="Times New Roman" w:hAnsi="Times New Roman"/>
          <w:sz w:val="24"/>
        </w:rPr>
        <w:t>Colina, J. (2024). Automatización de procesos de facturación y control de préstamos prendarios. Trabajo de Grado no publicado. Universidad Alejandro de Humboldt, Caracas.</w:t>
      </w:r>
    </w:p>
    <w:p>
      <w:pPr>
        <w:pStyle w:val="normal1"/>
        <w:spacing w:lineRule="auto" w:line="360" w:before="0" w:after="120"/>
        <w:ind w:hanging="720" w:start="720"/>
        <w:jc w:val="start"/>
        <w:rPr/>
      </w:pPr>
      <w:r>
        <w:rPr>
          <w:rFonts w:eastAsia="Times New Roman" w:cs="Times New Roman" w:ascii="Times New Roman" w:hAnsi="Times New Roman"/>
          <w:sz w:val="24"/>
        </w:rPr>
        <w:t>Congreso de la República de Venezuela. (1955). Código de Comercio. Gaceta Oficial de la República de Venezuela, 475 (Extraordinario), diciembre 21, 1955.</w:t>
      </w:r>
    </w:p>
    <w:p>
      <w:pPr>
        <w:pStyle w:val="normal1"/>
        <w:spacing w:lineRule="auto" w:line="360" w:before="0" w:after="120"/>
        <w:ind w:hanging="720" w:start="720"/>
        <w:jc w:val="start"/>
        <w:rPr/>
      </w:pPr>
      <w:r>
        <w:rPr>
          <w:rFonts w:eastAsia="Times New Roman" w:cs="Times New Roman" w:ascii="Times New Roman" w:hAnsi="Times New Roman"/>
          <w:sz w:val="24"/>
        </w:rPr>
        <w:t>Date, C. J. (2004). Introducción a los Sistemas de Bases de Datos (8va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Kendall, K. E., y Kendall, J. E. (2011). Análisis y diseño de sistemas (8va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Laudon, K., y Laudon, J. (2012). Sistemas de Información Gerencial (12da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Martínez, A. (2025). Sistema de información para la gestión administrativa y control de inventarios. Trabajo de Grado no publicado. Colegio Universitario de Administración y Mercadeo, Extensión Caracas.</w:t>
      </w:r>
    </w:p>
    <w:p>
      <w:pPr>
        <w:pStyle w:val="normal1"/>
        <w:spacing w:lineRule="auto" w:line="360" w:before="0" w:after="120"/>
        <w:ind w:hanging="720" w:start="720"/>
        <w:jc w:val="start"/>
        <w:rPr/>
      </w:pPr>
      <w:r>
        <w:rPr>
          <w:rFonts w:eastAsia="Times New Roman" w:cs="Times New Roman"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pStyle w:val="normal1"/>
        <w:spacing w:lineRule="auto" w:line="360" w:before="0" w:after="120"/>
        <w:ind w:hanging="720" w:start="720"/>
        <w:jc w:val="start"/>
        <w:rPr/>
      </w:pPr>
      <w:r>
        <w:rPr>
          <w:rFonts w:eastAsia="Times New Roman" w:cs="Times New Roman" w:ascii="Times New Roman" w:hAnsi="Times New Roman"/>
          <w:sz w:val="24"/>
        </w:rPr>
        <w:t>Presidencia de la República Bolivariana de Venezuela. (2026). Ley Orgánica de Minas. Gaceta Oficial de la República Bolivariana de Venezuela, 6.802 (Extraordinario), abril 15, 2026.</w:t>
      </w:r>
    </w:p>
    <w:p>
      <w:pPr>
        <w:pStyle w:val="normal1"/>
        <w:spacing w:lineRule="auto" w:line="360" w:before="0" w:after="120"/>
        <w:ind w:hanging="720" w:start="720"/>
        <w:jc w:val="start"/>
        <w:rPr/>
      </w:pPr>
      <w:r>
        <w:rPr>
          <w:rFonts w:eastAsia="Times New Roman" w:cs="Times New Roman" w:ascii="Times New Roman" w:hAnsi="Times New Roman"/>
          <w:sz w:val="24"/>
        </w:rPr>
        <w:t>Pressman, R. (2010). Ingeniería del Software: Un Enfoque Práctico (7ma ed.). McGraw-Hill.</w:t>
      </w:r>
    </w:p>
    <w:p>
      <w:pPr>
        <w:pStyle w:val="normal1"/>
        <w:spacing w:lineRule="auto" w:line="360" w:before="0" w:after="120"/>
        <w:ind w:hanging="720" w:start="720"/>
        <w:jc w:val="start"/>
        <w:rPr/>
      </w:pPr>
      <w:r>
        <w:rPr>
          <w:rFonts w:eastAsia="Times New Roman" w:cs="Times New Roman" w:ascii="Times New Roman" w:hAnsi="Times New Roman"/>
          <w:sz w:val="24"/>
        </w:rPr>
        <w:t>Universidad Pedagógica Experimental Libertador (UPEL). (2016). Manual de Trabajos de Grado de Especialización y Maestría y Tesis Doctorales (5ta ed.). 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t>ANEXO B</w:t>
      </w:r>
    </w:p>
    <w:p>
      <w:pPr>
        <w:pStyle w:val="normal1"/>
        <w:jc w:val="center"/>
        <w:rPr/>
      </w:pPr>
      <w:r>
        <w:rPr>
          <w:rFonts w:eastAsia="Times New Roman" w:cs="Times New Roman" w:ascii="Times New Roman" w:hAnsi="Times New Roman"/>
          <w:b/>
          <w:sz w:val="24"/>
        </w:rPr>
        <w:t>Validación por Juicio de Expertos</w:t>
      </w:r>
    </w:p>
    <w:p>
      <w:pPr>
        <w:pStyle w:val="normal1"/>
        <w:jc w:val="center"/>
        <w:rPr/>
      </w:pPr>
      <w:r>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252085" cy="761301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anchor>
        </w:drawing>
      </w:r>
    </w:p>
    <w:p>
      <w:pPr>
        <w:pStyle w:val="normal1"/>
        <w:jc w:val="center"/>
        <w:rPr/>
      </w:pPr>
      <w:r>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
    </w:p>
    <w:p>
      <w:pPr>
        <w:pStyle w:val="normal1"/>
        <w:jc w:val="center"/>
        <w:rPr/>
      </w:pPr>
      <w:r>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2026-08-11T13:54:35Z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