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14"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t>Caracas, Julio 2026</w:t>
      </w:r>
    </w:p>
    <w:p>
      <w:pPr>
        <w:pStyle w:val="normal1"/>
        <w:spacing w:lineRule="auto" w:line="360"/>
        <w:jc w:val="center"/>
        <w:rPr/>
      </w:pPr>
      <w:r>
        <w:drawing>
          <wp:anchor distT="0" distB="0" distL="0" distR="0" simplePos="0" relativeHeight="15"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ind w:firstLine="720"/>
        <w:jc w:val="both"/>
        <w:rPr/>
      </w:pPr>
      <w:r>
        <w:rPr>
          <w:rFonts w:ascii="Times New Roman" w:hAnsi="Times New Roman"/>
          <w:sz w:val="24"/>
        </w:rPr>
        <w:t>Caracas, a los __5 días del mes de Julio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spacing w:line="280" w:after="20"/>
      </w:pPr>
      <w:r>
        <w:rPr>
          <w:rFonts w:ascii="Times New Roman" w:hAnsi="Times New Roman"/>
          <w:sz w:val="22"/>
        </w:rPr>
        <w:t>LISTA DE CUADROS ...................................................   vii</w:t>
      </w:r>
    </w:p>
    <w:p>
      <w:pPr>
        <w:spacing w:line="280" w:after="20"/>
      </w:pPr>
      <w:r>
        <w:rPr>
          <w:rFonts w:ascii="Times New Roman" w:hAnsi="Times New Roman"/>
          <w:sz w:val="22"/>
        </w:rPr>
        <w:t>LISTA DE GRÁFICOS ..................................................   viii</w:t>
      </w:r>
    </w:p>
    <w:p>
      <w:pPr>
        <w:spacing w:line="280" w:after="20"/>
      </w:pPr>
      <w:r>
        <w:rPr>
          <w:rFonts w:ascii="Times New Roman" w:hAnsi="Times New Roman"/>
          <w:sz w:val="22"/>
        </w:rPr>
        <w:t>RESUMEN ............................................................   ix</w:t>
      </w:r>
    </w:p>
    <w:p>
      <w:pPr>
        <w:spacing w:line="280" w:after="20"/>
      </w:pPr>
      <w:r>
        <w:rPr>
          <w:rFonts w:ascii="Times New Roman" w:hAnsi="Times New Roman"/>
          <w:sz w:val="22"/>
        </w:rPr>
        <w:t>INTRODUCCIÓN  ......................................................   1</w:t>
      </w:r>
    </w:p>
    <w:p>
      <w:pPr>
        <w:spacing w:line="280" w:after="20"/>
      </w:pPr>
      <w:r>
        <w:rPr>
          <w:rFonts w:ascii="Times New Roman" w:hAnsi="Times New Roman"/>
          <w:b/>
          <w:sz w:val="22"/>
        </w:rPr>
        <w:t>CAPÍTULO</w:t>
      </w:r>
    </w:p>
    <w:p>
      <w:pPr>
        <w:spacing w:line="280" w:after="20"/>
      </w:pPr>
      <w:r>
        <w:rPr>
          <w:rFonts w:ascii="Times New Roman" w:hAnsi="Times New Roman"/>
          <w:b/>
          <w:sz w:val="22"/>
        </w:rPr>
        <w:t>I.  EL PROBLEMA</w:t>
      </w:r>
    </w:p>
    <w:p>
      <w:pPr>
        <w:spacing w:line="280" w:after="20"/>
      </w:pPr>
      <w:r>
        <w:rPr>
          <w:rFonts w:ascii="Times New Roman" w:hAnsi="Times New Roman"/>
          <w:sz w:val="22"/>
        </w:rPr>
        <w:t>Planteamiento del Problema  .......................................   2</w:t>
      </w:r>
    </w:p>
    <w:p>
      <w:pPr>
        <w:spacing w:line="280" w:after="20"/>
      </w:pPr>
      <w:r>
        <w:rPr>
          <w:rFonts w:ascii="Times New Roman" w:hAnsi="Times New Roman"/>
          <w:sz w:val="22"/>
        </w:rPr>
        <w:t>Interrogantes de la Investigación  ................................   3</w:t>
      </w:r>
    </w:p>
    <w:p>
      <w:pPr>
        <w:spacing w:line="280" w:after="20"/>
      </w:pPr>
      <w:r>
        <w:rPr>
          <w:rFonts w:ascii="Times New Roman" w:hAnsi="Times New Roman"/>
          <w:sz w:val="22"/>
        </w:rPr>
        <w:t>Objetivos de la Investigación  ....................................   3</w:t>
      </w:r>
    </w:p>
    <w:p>
      <w:pPr>
        <w:spacing w:line="280" w:after="20"/>
      </w:pPr>
      <w:r>
        <w:rPr>
          <w:rFonts w:ascii="Times New Roman" w:hAnsi="Times New Roman"/>
          <w:sz w:val="22"/>
        </w:rPr>
        <w:t>Objetivo General  .................................................   3</w:t>
      </w:r>
    </w:p>
    <w:p>
      <w:pPr>
        <w:spacing w:line="280" w:after="20"/>
      </w:pPr>
      <w:r>
        <w:rPr>
          <w:rFonts w:ascii="Times New Roman" w:hAnsi="Times New Roman"/>
          <w:sz w:val="22"/>
        </w:rPr>
        <w:t>Objetivos Específicos  ............................................   3</w:t>
      </w:r>
    </w:p>
    <w:p>
      <w:pPr>
        <w:spacing w:line="280" w:after="20"/>
      </w:pPr>
      <w:r>
        <w:rPr>
          <w:rFonts w:ascii="Times New Roman" w:hAnsi="Times New Roman"/>
          <w:sz w:val="22"/>
        </w:rPr>
        <w:t>Justificación de la Investigación  ................................   4</w:t>
      </w:r>
    </w:p>
    <w:p>
      <w:pPr>
        <w:spacing w:line="280" w:after="20"/>
      </w:pPr>
      <w:r>
        <w:rPr>
          <w:rFonts w:ascii="Times New Roman" w:hAnsi="Times New Roman"/>
          <w:b/>
          <w:sz w:val="22"/>
        </w:rPr>
        <w:t>II. MARCO TEÓRICO</w:t>
      </w:r>
    </w:p>
    <w:p>
      <w:pPr>
        <w:spacing w:line="280" w:after="20"/>
      </w:pPr>
      <w:r>
        <w:rPr>
          <w:rFonts w:ascii="Times New Roman" w:hAnsi="Times New Roman"/>
          <w:sz w:val="22"/>
        </w:rPr>
        <w:t>Antecedentes de la Investigación  .................................   5</w:t>
      </w:r>
    </w:p>
    <w:p>
      <w:pPr>
        <w:spacing w:line="280" w:after="20"/>
      </w:pPr>
      <w:r>
        <w:rPr>
          <w:rFonts w:ascii="Times New Roman" w:hAnsi="Times New Roman"/>
          <w:sz w:val="22"/>
        </w:rPr>
        <w:t>Bases Teóricas  ...................................................   6</w:t>
      </w:r>
    </w:p>
    <w:p>
      <w:pPr>
        <w:spacing w:line="280" w:after="20"/>
      </w:pPr>
      <w:r>
        <w:rPr>
          <w:rFonts w:ascii="Times New Roman" w:hAnsi="Times New Roman"/>
          <w:sz w:val="22"/>
        </w:rPr>
        <w:t>Bases Legales  ...................................................   10</w:t>
      </w:r>
    </w:p>
    <w:p>
      <w:pPr>
        <w:spacing w:line="280" w:after="20"/>
      </w:pPr>
      <w:r>
        <w:rPr>
          <w:rFonts w:ascii="Times New Roman" w:hAnsi="Times New Roman"/>
          <w:sz w:val="22"/>
        </w:rPr>
        <w:t>Cuadro de Operacionalización de Variables  .......................   12</w:t>
      </w:r>
    </w:p>
    <w:p>
      <w:pPr>
        <w:spacing w:line="280" w:after="20"/>
      </w:pPr>
      <w:r>
        <w:rPr>
          <w:rFonts w:ascii="Times New Roman" w:hAnsi="Times New Roman"/>
          <w:sz w:val="22"/>
        </w:rPr>
        <w:t>Sistema de Variables  ............................................   13</w:t>
      </w:r>
    </w:p>
    <w:p>
      <w:pPr>
        <w:spacing w:line="280" w:after="20"/>
      </w:pPr>
      <w:r>
        <w:rPr>
          <w:rFonts w:ascii="Times New Roman" w:hAnsi="Times New Roman"/>
          <w:sz w:val="22"/>
        </w:rPr>
        <w:t>Definición de Términos Básicos  ..................................   13</w:t>
      </w:r>
    </w:p>
    <w:p>
      <w:pPr>
        <w:spacing w:line="280" w:after="20"/>
      </w:pPr>
      <w:r>
        <w:rPr>
          <w:rFonts w:ascii="Times New Roman" w:hAnsi="Times New Roman"/>
          <w:b/>
          <w:sz w:val="22"/>
        </w:rPr>
        <w:t>III. MARCO METODOLÓGICO</w:t>
      </w:r>
    </w:p>
    <w:p>
      <w:pPr>
        <w:spacing w:line="280" w:after="20"/>
      </w:pPr>
      <w:r>
        <w:rPr>
          <w:rFonts w:ascii="Times New Roman" w:hAnsi="Times New Roman"/>
          <w:sz w:val="22"/>
        </w:rPr>
        <w:t>Tipo y Diseño de la Investigación  ...............................   15</w:t>
      </w:r>
    </w:p>
    <w:p>
      <w:pPr>
        <w:spacing w:line="280" w:after="20"/>
      </w:pPr>
      <w:r>
        <w:rPr>
          <w:rFonts w:ascii="Times New Roman" w:hAnsi="Times New Roman"/>
          <w:sz w:val="22"/>
        </w:rPr>
        <w:t>Fases del Proyecto Factible  ......................................   15</w:t>
      </w:r>
    </w:p>
    <w:p>
      <w:pPr>
        <w:spacing w:line="280" w:after="20"/>
      </w:pPr>
      <w:r>
        <w:rPr>
          <w:rFonts w:ascii="Times New Roman" w:hAnsi="Times New Roman"/>
          <w:sz w:val="22"/>
        </w:rPr>
        <w:t>Población y Muestra  .............................................   16</w:t>
      </w:r>
    </w:p>
    <w:p>
      <w:pPr>
        <w:spacing w:line="280" w:after="20"/>
      </w:pPr>
      <w:r>
        <w:rPr>
          <w:rFonts w:ascii="Times New Roman" w:hAnsi="Times New Roman"/>
          <w:sz w:val="22"/>
        </w:rPr>
        <w:t>Técnicas de Recolección de Datos  ................................   17</w:t>
      </w:r>
    </w:p>
    <w:p>
      <w:pPr>
        <w:spacing w:line="280" w:after="20"/>
      </w:pPr>
      <w:r>
        <w:rPr>
          <w:rFonts w:ascii="Times New Roman" w:hAnsi="Times New Roman"/>
          <w:sz w:val="22"/>
        </w:rPr>
        <w:t>Instrumentos de Recolección de Datos  ............................   17</w:t>
      </w:r>
    </w:p>
    <w:p>
      <w:pPr>
        <w:spacing w:line="280" w:after="20"/>
      </w:pPr>
      <w:r>
        <w:rPr>
          <w:rFonts w:ascii="Times New Roman" w:hAnsi="Times New Roman"/>
          <w:sz w:val="22"/>
        </w:rPr>
        <w:t>Validez de los Instrumentos y Confiabilidad  .....................   17</w:t>
      </w:r>
    </w:p>
    <w:p>
      <w:pPr>
        <w:spacing w:line="280" w:after="20"/>
      </w:pPr>
      <w:r>
        <w:rPr>
          <w:rFonts w:ascii="Times New Roman" w:hAnsi="Times New Roman"/>
          <w:sz w:val="22"/>
        </w:rPr>
        <w:t>Técnica de Análisis de Datos  ....................................   19</w:t>
      </w:r>
    </w:p>
    <w:p>
      <w:pPr>
        <w:spacing w:line="280" w:after="20"/>
      </w:pPr>
      <w:r>
        <w:rPr>
          <w:rFonts w:ascii="Times New Roman" w:hAnsi="Times New Roman"/>
          <w:sz w:val="22"/>
        </w:rPr>
        <w:t>IV. ANÁLISIS E INTERPRETACIÓN DE LOS RESULTADOS  .................   20</w:t>
      </w:r>
    </w:p>
    <w:p>
      <w:pPr>
        <w:spacing w:line="280" w:after="20"/>
      </w:pPr>
      <w:r>
        <w:rPr>
          <w:rFonts w:ascii="Times New Roman" w:hAnsi="Times New Roman"/>
          <w:sz w:val="22"/>
        </w:rPr>
        <w:t>Tabulación, Graficación y Análisis de los Resultados  ............   20</w:t>
      </w:r>
    </w:p>
    <w:p>
      <w:pPr>
        <w:spacing w:line="280" w:after="20"/>
      </w:pPr>
      <w:r>
        <w:rPr>
          <w:rFonts w:ascii="Times New Roman" w:hAnsi="Times New Roman"/>
          <w:sz w:val="22"/>
        </w:rPr>
        <w:t>V.  CONCLUSIONES Y RECOMENDACIONES  ..............................   30</w:t>
      </w:r>
    </w:p>
    <w:p>
      <w:pPr>
        <w:spacing w:line="280" w:after="20"/>
      </w:pPr>
      <w:r>
        <w:rPr>
          <w:rFonts w:ascii="Times New Roman" w:hAnsi="Times New Roman"/>
          <w:sz w:val="22"/>
        </w:rPr>
        <w:t>Conclusiones  .....................................................   30</w:t>
      </w:r>
    </w:p>
    <w:p>
      <w:pPr>
        <w:spacing w:line="280" w:after="20"/>
      </w:pPr>
      <w:r>
        <w:rPr>
          <w:rFonts w:ascii="Times New Roman" w:hAnsi="Times New Roman"/>
          <w:sz w:val="22"/>
        </w:rPr>
        <w:t>Recomendaciones  .................................................   31</w:t>
      </w:r>
    </w:p>
    <w:p>
      <w:pPr>
        <w:spacing w:line="280" w:after="20"/>
      </w:pPr>
      <w:r>
        <w:rPr>
          <w:rFonts w:ascii="Times New Roman" w:hAnsi="Times New Roman"/>
          <w:sz w:val="22"/>
        </w:rPr>
        <w:t>VI. LA PROPUESTA  ................................................   32</w:t>
      </w:r>
    </w:p>
    <w:p>
      <w:pPr>
        <w:spacing w:line="280" w:after="20"/>
      </w:pPr>
      <w:r>
        <w:rPr>
          <w:rFonts w:ascii="Times New Roman" w:hAnsi="Times New Roman"/>
          <w:sz w:val="22"/>
        </w:rPr>
        <w:t>Presentación y Justificación de la Propuesta  .....................   32</w:t>
      </w:r>
    </w:p>
    <w:p>
      <w:pPr>
        <w:spacing w:line="280" w:after="20"/>
      </w:pPr>
      <w:r>
        <w:rPr>
          <w:rFonts w:ascii="Times New Roman" w:hAnsi="Times New Roman"/>
          <w:sz w:val="22"/>
        </w:rPr>
        <w:t>Objetivos de la Propuesta  ........................................   33</w:t>
      </w:r>
    </w:p>
    <w:p>
      <w:pPr>
        <w:spacing w:line="280" w:after="20"/>
      </w:pPr>
      <w:r>
        <w:rPr>
          <w:rFonts w:ascii="Times New Roman" w:hAnsi="Times New Roman"/>
          <w:sz w:val="22"/>
        </w:rPr>
        <w:t>Fundamentación Teórica, Técnica y Legal  ..........................   33</w:t>
      </w:r>
    </w:p>
    <w:p>
      <w:pPr>
        <w:spacing w:line="280" w:after="20"/>
      </w:pPr>
      <w:r>
        <w:rPr>
          <w:rFonts w:ascii="Times New Roman" w:hAnsi="Times New Roman"/>
          <w:sz w:val="22"/>
        </w:rPr>
        <w:t>Estudio de Factibilidad (Mercado, Técnica y Económica)  ...........   34</w:t>
      </w:r>
    </w:p>
    <w:p>
      <w:pPr>
        <w:spacing w:line="280" w:after="20"/>
      </w:pPr>
      <w:r>
        <w:rPr>
          <w:rFonts w:ascii="Times New Roman" w:hAnsi="Times New Roman"/>
          <w:sz w:val="22"/>
        </w:rPr>
        <w:t>Estructura, Arquitectura y Modelo de Datos Relacional  ............   37</w:t>
      </w:r>
    </w:p>
    <w:p>
      <w:pPr>
        <w:spacing w:line="280" w:after="20"/>
      </w:pPr>
      <w:r>
        <w:rPr>
          <w:rFonts w:ascii="Times New Roman" w:hAnsi="Times New Roman"/>
          <w:sz w:val="22"/>
        </w:rPr>
        <w:t>Diseño de Módulos y Manual de Operación para el Usuario  ..........   40</w:t>
      </w:r>
    </w:p>
    <w:p>
      <w:pPr>
        <w:spacing w:line="280" w:after="20"/>
      </w:pPr>
      <w:r>
        <w:rPr>
          <w:rFonts w:ascii="Times New Roman" w:hAnsi="Times New Roman"/>
          <w:sz w:val="22"/>
        </w:rPr>
        <w:t>REFERENCIAS  .....................................................   44</w:t>
      </w:r>
    </w:p>
    <w:p>
      <w:pPr>
        <w:spacing w:line="280" w:after="20"/>
      </w:pPr>
      <w:r>
        <w:rPr>
          <w:rFonts w:ascii="Times New Roman" w:hAnsi="Times New Roman"/>
          <w:b/>
          <w:sz w:val="22"/>
        </w:rPr>
        <w:t>ANEXOS</w:t>
      </w:r>
    </w:p>
    <w:p>
      <w:pPr>
        <w:spacing w:line="280" w:after="20"/>
      </w:pPr>
      <w:r>
        <w:rPr>
          <w:rFonts w:ascii="Times New Roman" w:hAnsi="Times New Roman"/>
          <w:sz w:val="22"/>
        </w:rPr>
        <w:t>A. Instrumento de Recolección de los Datos (Cuestionario)  .......   46</w:t>
      </w:r>
    </w:p>
    <w:p>
      <w:pPr>
        <w:spacing w:line="280" w:after="20"/>
      </w:pPr>
      <w:r>
        <w:rPr>
          <w:rFonts w:ascii="Times New Roman" w:hAnsi="Times New Roman"/>
          <w:sz w:val="22"/>
        </w:rPr>
        <w:t>B. Validación por Juicio de Expertos .............................   48</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r>
        <w:br w:type="page"/>
      </w:r>
    </w:p>
    <w:p>
      <w:pPr>
        <w:jc w:val="center"/>
        <w:spacing w:line="360" w:lineRule="auto" w:after="240" w:before="240"/>
        <w:ind w:firstLine="0" w:left="0"/>
      </w:pPr>
      <w:r/>
      <w:r>
        <w:rPr>
          <w:rFonts w:ascii="Times New Roman" w:hAnsi="Times New Roman"/>
          <w:b/>
          <w:i w:val="0"/>
          <w:sz w:val="24"/>
        </w:rPr>
        <w:t>LISTA DE CUADROS</w:t>
      </w:r>
    </w:p>
    <w:p>
      <w:pPr>
        <w:jc w:val="left"/>
        <w:spacing w:line="360" w:lineRule="auto" w:after="120" w:before="0"/>
        <w:ind w:firstLine="0" w:left="0"/>
      </w:pPr>
      <w:r/>
      <w:r>
        <w:rPr>
          <w:rFonts w:ascii="Times New Roman" w:hAnsi="Times New Roman"/>
          <w:b/>
          <w:i w:val="0"/>
          <w:sz w:val="24"/>
        </w:rPr>
        <w:t>CUADROS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Eficiencia de la integración de datos en Excel ............................   20</w:t>
      </w:r>
    </w:p>
    <w:p>
      <w:pPr>
        <w:jc w:val="left"/>
        <w:spacing w:line="360" w:lineRule="auto" w:after="80" w:before="0"/>
        <w:ind w:firstLine="0" w:left="0"/>
      </w:pPr>
      <w:r/>
      <w:r>
        <w:rPr>
          <w:rFonts w:ascii="Times New Roman" w:hAnsi="Times New Roman"/>
          <w:b w:val="0"/>
          <w:i w:val="0"/>
          <w:sz w:val="24"/>
        </w:rPr>
        <w:t>2  Disponibilidad de un módulo centralizado de inventario de metales .........   21</w:t>
      </w:r>
    </w:p>
    <w:p>
      <w:pPr>
        <w:jc w:val="left"/>
        <w:spacing w:line="360" w:lineRule="auto" w:after="80" w:before="0"/>
        <w:ind w:firstLine="0" w:left="0"/>
      </w:pPr>
      <w:r/>
      <w:r>
        <w:rPr>
          <w:rFonts w:ascii="Times New Roman" w:hAnsi="Times New Roman"/>
          <w:b w:val="0"/>
          <w:i w:val="0"/>
          <w:sz w:val="24"/>
        </w:rPr>
        <w:t>3  Automatización del cálculo de fechas de vencimiento e intereses de empeño .....   23</w:t>
      </w:r>
    </w:p>
    <w:p>
      <w:pPr>
        <w:jc w:val="left"/>
        <w:spacing w:line="360" w:lineRule="auto" w:after="80" w:before="0"/>
        <w:ind w:firstLine="0" w:left="0"/>
      </w:pPr>
      <w:r/>
      <w:r>
        <w:rPr>
          <w:rFonts w:ascii="Times New Roman" w:hAnsi="Times New Roman"/>
          <w:b w:val="0"/>
          <w:i w:val="0"/>
          <w:sz w:val="24"/>
        </w:rPr>
        <w:t>4  Existencia de mecanismos automatizados de respaldo para la información crítica .....   24</w:t>
      </w:r>
    </w:p>
    <w:p>
      <w:pPr>
        <w:jc w:val="left"/>
        <w:spacing w:line="360" w:lineRule="auto" w:after="80" w:before="0"/>
        <w:ind w:firstLine="0" w:left="0"/>
      </w:pPr>
      <w:r/>
      <w:r>
        <w:rPr>
          <w:rFonts w:ascii="Times New Roman" w:hAnsi="Times New Roman"/>
          <w:b w:val="0"/>
          <w:i w:val="0"/>
          <w:sz w:val="24"/>
        </w:rPr>
        <w:t>5  Requerimiento de una interfaz amigable e intuitiva adaptada al usuario final .....   25</w:t>
      </w:r>
    </w:p>
    <w:p>
      <w:pPr>
        <w:jc w:val="left"/>
        <w:spacing w:line="360" w:lineRule="auto" w:after="80" w:before="0"/>
        <w:ind w:firstLine="0" w:left="0"/>
      </w:pPr>
      <w:r/>
      <w:r>
        <w:rPr>
          <w:rFonts w:ascii="Times New Roman" w:hAnsi="Times New Roman"/>
          <w:b w:val="0"/>
          <w:i w:val="0"/>
          <w:sz w:val="24"/>
        </w:rPr>
        <w:t>6  Registro y control de préstamos mediante roles y perfiles diferenciados .....   27</w:t>
      </w:r>
    </w:p>
    <w:p>
      <w:pPr>
        <w:jc w:val="left"/>
        <w:spacing w:line="360" w:lineRule="auto" w:after="80" w:before="0"/>
        <w:ind w:firstLine="0" w:left="0"/>
      </w:pPr>
      <w:r/>
      <w:r>
        <w:rPr>
          <w:rFonts w:ascii="Times New Roman" w:hAnsi="Times New Roman"/>
          <w:b w:val="0"/>
          <w:i w:val="0"/>
          <w:sz w:val="24"/>
        </w:rPr>
        <w:t>7  Necesidad de reportes administrativos y financieros automáticos para la gerencia .....   28</w:t>
      </w:r>
    </w:p>
    <w:p>
      <w:pPr>
        <w:jc w:val="left"/>
        <w:spacing w:line="360" w:lineRule="auto" w:after="80" w:before="0"/>
        <w:ind w:firstLine="0" w:left="0"/>
      </w:pPr>
      <w:r/>
      <w:r>
        <w:rPr>
          <w:rFonts w:ascii="Times New Roman" w:hAnsi="Times New Roman"/>
          <w:b w:val="0"/>
          <w:i w:val="0"/>
          <w:sz w:val="24"/>
        </w:rPr>
        <w:t>8  Importancia de la automatización de consultas operativas para optimizar el flujo de trabajo .....   29</w:t>
      </w:r>
    </w:p>
    <w:p>
      <w:pPr>
        <w:jc w:val="left"/>
        <w:spacing w:line="360" w:lineRule="auto" w:after="80" w:before="0"/>
        <w:ind w:firstLine="0" w:left="0"/>
      </w:pPr>
      <w:r/>
      <w:r>
        <w:rPr>
          <w:rFonts w:ascii="Times New Roman" w:hAnsi="Times New Roman"/>
          <w:b w:val="0"/>
          <w:i w:val="0"/>
          <w:sz w:val="24"/>
        </w:rPr>
        <w:t>9  Disponibilidad de Talento Humano ..........................................   34</w:t>
      </w:r>
    </w:p>
    <w:p>
      <w:pPr>
        <w:jc w:val="left"/>
        <w:spacing w:line="360" w:lineRule="auto" w:after="80" w:before="0"/>
        <w:ind w:firstLine="0" w:left="0"/>
      </w:pPr>
      <w:r/>
      <w:r>
        <w:rPr>
          <w:rFonts w:ascii="Times New Roman" w:hAnsi="Times New Roman"/>
          <w:b w:val="0"/>
          <w:i w:val="0"/>
          <w:sz w:val="24"/>
        </w:rPr>
        <w:t>10  Recursos Materiales Requeridos ...........................................   35</w:t>
      </w:r>
    </w:p>
    <w:p>
      <w:pPr>
        <w:jc w:val="left"/>
        <w:spacing w:line="360" w:lineRule="auto" w:after="80" w:before="0"/>
        <w:ind w:firstLine="0" w:left="0"/>
      </w:pPr>
      <w:r/>
      <w:r>
        <w:rPr>
          <w:rFonts w:ascii="Times New Roman" w:hAnsi="Times New Roman"/>
          <w:b w:val="0"/>
          <w:i w:val="0"/>
          <w:sz w:val="24"/>
        </w:rPr>
        <w:t>11  Recursos Tecnológicos y de Conectividad ..................................   35</w:t>
      </w:r>
    </w:p>
    <w:p>
      <w:pPr>
        <w:jc w:val="left"/>
        <w:spacing w:line="360" w:lineRule="auto" w:after="80" w:before="0"/>
        <w:ind w:firstLine="0" w:left="0"/>
      </w:pPr>
      <w:r/>
      <w:r>
        <w:rPr>
          <w:rFonts w:ascii="Times New Roman" w:hAnsi="Times New Roman"/>
          <w:b w:val="0"/>
          <w:i w:val="0"/>
          <w:sz w:val="24"/>
        </w:rPr>
        <w:t>12  Estimación de Costos de la Propuesta Tecnológica .........................   36</w:t>
      </w:r>
    </w:p>
    <w:p>
      <w:r>
        <w:br w:type="page"/>
      </w:r>
    </w:p>
    <w:p>
      <w:pPr>
        <w:jc w:val="center"/>
        <w:spacing w:line="360" w:lineRule="auto" w:after="240" w:before="240"/>
        <w:ind w:firstLine="0" w:left="0"/>
      </w:pPr>
      <w:r/>
      <w:r>
        <w:rPr>
          <w:rFonts w:ascii="Times New Roman" w:hAnsi="Times New Roman"/>
          <w:b/>
          <w:i w:val="0"/>
          <w:sz w:val="24"/>
        </w:rPr>
        <w:t>LISTA DE GRÁFICOS</w:t>
      </w:r>
    </w:p>
    <w:p>
      <w:pPr>
        <w:jc w:val="left"/>
        <w:spacing w:line="360" w:lineRule="auto" w:after="120" w:before="0"/>
        <w:ind w:firstLine="0" w:left="0"/>
      </w:pPr>
      <w:r/>
      <w:r>
        <w:rPr>
          <w:rFonts w:ascii="Times New Roman" w:hAnsi="Times New Roman"/>
          <w:b/>
          <w:i w:val="0"/>
          <w:sz w:val="24"/>
        </w:rPr>
        <w:t>GRÁFICOS</w:t>
        <w:tab/>
        <w:tab/>
        <w:tab/>
        <w:tab/>
        <w:tab/>
        <w:tab/>
        <w:tab/>
        <w:tab/>
        <w:tab/>
        <w:tab/>
        <w:tab/>
        <w:tab/>
        <w:tab/>
        <w:tab/>
        <w:tab/>
        <w:t>pp.</w:t>
      </w:r>
    </w:p>
    <w:p>
      <w:pPr>
        <w:jc w:val="left"/>
        <w:spacing w:line="360" w:lineRule="auto" w:after="80" w:before="0"/>
        <w:ind w:firstLine="0" w:left="0"/>
      </w:pPr>
      <w:r/>
      <w:r>
        <w:rPr>
          <w:rFonts w:ascii="Times New Roman" w:hAnsi="Times New Roman"/>
          <w:b w:val="0"/>
          <w:i w:val="0"/>
          <w:sz w:val="24"/>
        </w:rPr>
        <w:t>1  Representación porcentual sobre la eficiencia de la integración de datos en Excel .....   20</w:t>
      </w:r>
    </w:p>
    <w:p>
      <w:pPr>
        <w:jc w:val="left"/>
        <w:spacing w:line="360" w:lineRule="auto" w:after="80" w:before="0"/>
        <w:ind w:firstLine="0" w:left="0"/>
      </w:pPr>
      <w:r/>
      <w:r>
        <w:rPr>
          <w:rFonts w:ascii="Times New Roman" w:hAnsi="Times New Roman"/>
          <w:b w:val="0"/>
          <w:i w:val="0"/>
          <w:sz w:val="24"/>
        </w:rPr>
        <w:t>2  Representación porcentual sobre la disponibilidad de un módulo centralizado de inventario .....   22</w:t>
      </w:r>
    </w:p>
    <w:p>
      <w:pPr>
        <w:jc w:val="left"/>
        <w:spacing w:line="360" w:lineRule="auto" w:after="80" w:before="0"/>
        <w:ind w:firstLine="0" w:left="0"/>
      </w:pPr>
      <w:r/>
      <w:r>
        <w:rPr>
          <w:rFonts w:ascii="Times New Roman" w:hAnsi="Times New Roman"/>
          <w:b w:val="0"/>
          <w:i w:val="0"/>
          <w:sz w:val="24"/>
        </w:rPr>
        <w:t>3  Representación porcentual sobre la automatización del cálculo de fechas e intereses .....   23</w:t>
      </w:r>
    </w:p>
    <w:p>
      <w:pPr>
        <w:jc w:val="left"/>
        <w:spacing w:line="360" w:lineRule="auto" w:after="80" w:before="0"/>
        <w:ind w:firstLine="0" w:left="0"/>
      </w:pPr>
      <w:r/>
      <w:r>
        <w:rPr>
          <w:rFonts w:ascii="Times New Roman" w:hAnsi="Times New Roman"/>
          <w:b w:val="0"/>
          <w:i w:val="0"/>
          <w:sz w:val="24"/>
        </w:rPr>
        <w:t>4  Representación porcentual sobre la existencia de respaldos automatizados .....   24</w:t>
      </w:r>
    </w:p>
    <w:p>
      <w:pPr>
        <w:jc w:val="left"/>
        <w:spacing w:line="360" w:lineRule="auto" w:after="80" w:before="0"/>
        <w:ind w:firstLine="0" w:left="0"/>
      </w:pPr>
      <w:r/>
      <w:r>
        <w:rPr>
          <w:rFonts w:ascii="Times New Roman" w:hAnsi="Times New Roman"/>
          <w:b w:val="0"/>
          <w:i w:val="0"/>
          <w:sz w:val="24"/>
        </w:rPr>
        <w:t>5  Representación porcentual sobre el requerimiento de una interfaz amigable .....   26</w:t>
      </w:r>
    </w:p>
    <w:p>
      <w:pPr>
        <w:jc w:val="left"/>
        <w:spacing w:line="360" w:lineRule="auto" w:after="80" w:before="0"/>
        <w:ind w:firstLine="0" w:left="0"/>
      </w:pPr>
      <w:r/>
      <w:r>
        <w:rPr>
          <w:rFonts w:ascii="Times New Roman" w:hAnsi="Times New Roman"/>
          <w:b w:val="0"/>
          <w:i w:val="0"/>
          <w:sz w:val="24"/>
        </w:rPr>
        <w:t>6  Representación porcentual sobre el registro mediante roles y perfiles diferenciados .....   27</w:t>
      </w:r>
    </w:p>
    <w:p>
      <w:pPr>
        <w:jc w:val="left"/>
        <w:spacing w:line="360" w:lineRule="auto" w:after="80" w:before="0"/>
        <w:ind w:firstLine="0" w:left="0"/>
      </w:pPr>
      <w:r/>
      <w:r>
        <w:rPr>
          <w:rFonts w:ascii="Times New Roman" w:hAnsi="Times New Roman"/>
          <w:b w:val="0"/>
          <w:i w:val="0"/>
          <w:sz w:val="24"/>
        </w:rPr>
        <w:t>7  Representación porcentual sobre la necesidad de reportes administrativos y financieros .....   28</w:t>
      </w:r>
    </w:p>
    <w:p>
      <w:pPr>
        <w:jc w:val="left"/>
        <w:spacing w:line="360" w:lineRule="auto" w:after="80" w:before="0"/>
        <w:ind w:firstLine="0" w:left="0"/>
      </w:pPr>
      <w:r/>
      <w:r>
        <w:rPr>
          <w:rFonts w:ascii="Times New Roman" w:hAnsi="Times New Roman"/>
          <w:b w:val="0"/>
          <w:i w:val="0"/>
          <w:sz w:val="24"/>
        </w:rPr>
        <w:t>8  Representación porcentual sobre la importancia de la automatización de consultas .....   29</w:t>
      </w:r>
    </w:p>
    <w:p>
      <w:r>
        <w:br w:type="page"/>
      </w:r>
    </w:p>
    <w:p>
      <w:pPr>
        <w:pStyle w:val="normal1"/>
        <w:spacing w:lineRule="auto" w:line="240"/>
        <w:ind w:firstLine="720" w:start="2880"/>
        <w:jc w:val="start"/>
        <w:rPr/>
      </w:pPr>
      <w:r>
        <w:drawing>
          <wp:anchor distT="0" distB="0" distL="114300" distR="114300" simplePos="0" relativeHeight="16"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2268" w:right="1701" w:gutter="0" w:header="709" w:top="1701" w:footer="709" w:bottom="1701"/>
          <w:pgNumType w:start="1" w:fmt="lowerRoman"/>
          <w:formProt w:val="false"/>
          <w:textDirection w:val="lrTb"/>
          <w:docGrid w:type="default" w:linePitch="100" w:charSpace="0"/>
        </w:sect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rFonts w:eastAsia="Times New Roman" w:cs="Times New Roman" w:ascii="Times New Roman" w:hAnsi="Times New Roman"/>
          <w:sz w:val="24"/>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¿Cuál es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Diagnosticar el estado actual de los procesos de registro, control de inventario y atención al cliente en la empresa Inversiones Más Por Tu Oro 17 C.A.</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start="0"/>
        <w:jc w:val="both"/>
        <w:rPr>
          <w:rFonts w:ascii="Times New Roman" w:hAnsi="Times New Roman" w:eastAsia="Times New Roman" w:cs="Times New Roman"/>
          <w:sz w:val="24"/>
          <w:szCs w:val="24"/>
        </w:rPr>
      </w:pPr>
      <w:r>
        <w:rPr>
          <w:rFonts w:eastAsia="Times New Roman" w:cs="Times New Roman" w:ascii="Times New Roman" w:hAnsi="Times New Roman"/>
          <w:b w:val="false"/>
          <w:i w:val="false"/>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pStyle w:val="normal1"/>
        <w:spacing w:lineRule="auto" w:line="360" w:before="0" w:after="120"/>
        <w:ind w:firstLine="720" w:start="0"/>
        <w:jc w:val="both"/>
        <w:rPr/>
      </w:pPr>
      <w:r>
        <w:rPr>
          <w:rFonts w:eastAsia="Times New Roman" w:cs="Times New Roman" w:ascii="Times New Roman" w:hAnsi="Times New Roman"/>
          <w:b w:val="false"/>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pPr>
        <w:pStyle w:val="normal1"/>
        <w:spacing w:lineRule="auto" w:line="360" w:before="240" w:after="120"/>
        <w:ind w:hanging="0" w:start="0"/>
        <w:jc w:val="start"/>
        <w:rPr/>
      </w:pPr>
      <w:r>
        <w:rPr>
          <w:rFonts w:eastAsia="Times New Roman" w:cs="Times New Roman" w:ascii="Times New Roman" w:hAnsi="Times New Roman"/>
          <w:b/>
          <w:i w:val="false"/>
          <w:sz w:val="24"/>
        </w:rPr>
        <w:t>Sistemas de Información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pStyle w:val="normal1"/>
        <w:spacing w:lineRule="auto" w:line="360" w:before="0" w:after="120"/>
        <w:ind w:hanging="0" w:start="720"/>
        <w:jc w:val="both"/>
        <w:rPr/>
      </w:pPr>
      <w:r>
        <w:rPr>
          <w:rFonts w:eastAsia="Times New Roman" w:cs="Times New Roman" w:ascii="Times New Roman" w:hAnsi="Times New Roman"/>
          <w:b w:val="false"/>
          <w:sz w:val="24"/>
        </w:rPr>
        <w:t>Un sistema de información puede definirse técnicamente como un conjunto de componentes interrelacionados que recolectan (o recuperan), procesan, almacenan y distribuyen información para apoyar los procesos de toma de decisiones y de control en una organización. Además de apoyar la toma de decisiones, la coordinación y el control, los sistemas de información también pueden ayudar a los gerentes y trabajadores del conocimiento a analizar problemas, visualizar temas complejos y crear nuevos productos. (Laudon y Laudon, 2012, p. 15)</w:t>
      </w:r>
    </w:p>
    <w:p>
      <w:pPr>
        <w:pStyle w:val="normal1"/>
        <w:spacing w:lineRule="auto" w:line="360" w:before="0" w:after="120"/>
        <w:ind w:firstLine="720" w:start="0"/>
        <w:jc w:val="both"/>
        <w:rPr/>
      </w:pPr>
      <w:r>
        <w:rPr>
          <w:rFonts w:eastAsia="Times New Roman" w:cs="Times New Roman" w:ascii="Times New Roman" w:hAnsi="Times New Roman"/>
          <w:b w:val="false"/>
          <w:sz w:val="24"/>
        </w:rPr>
        <w:t>La definición aportada por Laudon y Laudon establece de forma categórica que un sistema de información trasciende la simple automatización de tareas: su valor reside en la capacidad de transformar datos crudos en información estructurada que facilite la toma de decisiones gerenciales. En el caso de la empresa Inversiones Más Por Tu Oro 17 C.A., el sistema propuesto materializa esta definición al convertir los registros dispersos de compras de oro, contratos de empeño y movimientos de inventario en reportes consolidados y consultas en tiempo real, eliminando la dependencia de archivos de Excel desconectados entre sí.</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pStyle w:val="normal1"/>
        <w:spacing w:lineRule="auto" w:line="360" w:before="240" w:after="120"/>
        <w:ind w:hanging="0" w:start="0"/>
        <w:jc w:val="start"/>
        <w:rPr/>
      </w:pPr>
      <w:r>
        <w:rPr>
          <w:rFonts w:eastAsia="Times New Roman" w:cs="Times New Roman" w:ascii="Times New Roman" w:hAnsi="Times New Roman"/>
          <w:b/>
          <w:i w:val="false"/>
          <w:sz w:val="24"/>
        </w:rPr>
        <w:t>Bases de Datos Relacionales y Centralización</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pStyle w:val="normal1"/>
        <w:spacing w:lineRule="auto" w:line="360" w:before="240" w:after="120"/>
        <w:ind w:hanging="0" w:start="0"/>
        <w:jc w:val="start"/>
        <w:rPr/>
      </w:pPr>
      <w:r>
        <w:rPr>
          <w:rFonts w:eastAsia="Times New Roman" w:cs="Times New Roman" w:ascii="Times New Roman" w:hAnsi="Times New Roman"/>
          <w:b/>
          <w:i w:val="false"/>
          <w:sz w:val="24"/>
        </w:rPr>
        <w:t>Ingeniería de Software y Modelado de Interfaces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pStyle w:val="normal1"/>
        <w:spacing w:lineRule="auto" w:line="360" w:before="0" w:after="240"/>
        <w:ind w:hanging="0" w:start="720"/>
        <w:jc w:val="both"/>
        <w:rPr/>
      </w:pPr>
      <w:r>
        <w:rPr>
          <w:rFonts w:eastAsia="Times New Roman" w:cs="Times New Roman" w:ascii="Times New Roman" w:hAnsi="Times New Roman"/>
          <w:b w:val="false"/>
          <w:i w:val="false"/>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pStyle w:val="normal1"/>
        <w:spacing w:lineRule="auto" w:line="360" w:before="0" w:after="240"/>
        <w:ind w:firstLine="720" w:start="0"/>
        <w:jc w:val="both"/>
        <w:rPr>
          <w:rFonts w:ascii="Times New Roman" w:hAnsi="Times New Roman" w:eastAsia="Times New Roman" w:cs="Times New Roman"/>
          <w:b w:val="false"/>
          <w:i w:val="false"/>
          <w:sz w:val="24"/>
        </w:rPr>
      </w:pPr>
      <w:r>
        <w:rPr>
          <w:rFonts w:eastAsia="Times New Roman" w:cs="Times New Roman" w:ascii="Times New Roman" w:hAnsi="Times New Roman"/>
          <w:b w:val="false"/>
          <w:i w:val="false"/>
          <w:sz w:val="24"/>
        </w:rPr>
      </w:r>
    </w:p>
    <w:p>
      <w:pPr>
        <w:pStyle w:val="normal1"/>
        <w:spacing w:lineRule="auto" w:line="360" w:before="240" w:after="120"/>
        <w:ind w:hanging="0" w:start="0"/>
        <w:jc w:val="start"/>
        <w:rPr/>
      </w:pPr>
      <w:r>
        <w:rPr>
          <w:rFonts w:eastAsia="Times New Roman" w:cs="Times New Roman" w:ascii="Times New Roman" w:hAnsi="Times New Roman"/>
          <w:b/>
          <w:i w:val="false"/>
          <w:sz w:val="24"/>
        </w:rPr>
        <w:t>Gestión de Inventario de Metales Preciosos y Préstamos Prendarios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pStyle w:val="normal1"/>
        <w:spacing w:lineRule="auto" w:line="360" w:before="0" w:after="120"/>
        <w:ind w:hanging="0" w:start="720"/>
        <w:jc w:val="both"/>
        <w:rPr/>
      </w:pPr>
      <w:r>
        <w:rPr>
          <w:rFonts w:eastAsia="Times New Roman" w:cs="Times New Roman" w:ascii="Times New Roman" w:hAnsi="Times New Roman"/>
          <w:b w:val="false"/>
          <w:sz w:val="24"/>
        </w:rPr>
        <w:t>Un inventario constituye la existencia, ya sea en forma de materias primas, productos en proceso o productos terminados, que una organización mantiene en un momento determinado para satisfacer sus demandas operativas. El control de inventarios comprende los métodos, procedimientos y sistemas que se aplican para garantizar que el volumen de existencias reportado coincida con las existencias físicas reales disponibles en el establecimiento. (Arias, 2012, p. 54)</w:t>
      </w:r>
    </w:p>
    <w:p>
      <w:pPr>
        <w:pStyle w:val="normal1"/>
        <w:spacing w:lineRule="auto" w:line="360" w:before="0" w:after="120"/>
        <w:ind w:firstLine="720" w:start="0"/>
        <w:jc w:val="both"/>
        <w:rPr/>
      </w:pPr>
      <w:r>
        <w:rPr>
          <w:rFonts w:eastAsia="Times New Roman" w:cs="Times New Roman" w:ascii="Times New Roman" w:hAnsi="Times New Roman"/>
          <w:b w:val="false"/>
          <w:sz w:val="24"/>
        </w:rPr>
        <w:t>En este sentido, la definición operativa de Arias refuerza la necesidad de implementar un mecanismo automatizado de control de existencias en la empresa Inversiones Más Por Tu Oro 17 C.A., dado que actualmente el registro de metales preciosos ingresados como garantía prendaria se realiza en hojas de cálculo aisladas que no permiten la conciliación automática entre el inventario físico y el inventario contable. El sistema propuesto resuelve esta brecha al centralizar el registro de entradas y salidas de prendas de oro y plata en una base de datos relacional, generando alertas automáticas ante discrepancias entre el stock reportado y las existencias reales verificadas mediante el módulo de arqueo.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4"/>
        <w:gridCol w:w="1606"/>
        <w:gridCol w:w="1592"/>
        <w:gridCol w:w="1108"/>
        <w:gridCol w:w="1294"/>
        <w:gridCol w:w="1502"/>
        <w:gridCol w:w="504"/>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Objetivos Específicos</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Variables</w:t>
            </w:r>
          </w:p>
        </w:tc>
        <w:tc>
          <w:tcPr>
            <w:tcW w:w="1606"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Conceptual</w:t>
            </w:r>
          </w:p>
        </w:tc>
        <w:tc>
          <w:tcPr>
            <w:tcW w:w="159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Definición Operacional</w:t>
            </w:r>
          </w:p>
        </w:tc>
        <w:tc>
          <w:tcPr>
            <w:tcW w:w="110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Dimensión</w:t>
            </w:r>
          </w:p>
        </w:tc>
        <w:tc>
          <w:tcPr>
            <w:tcW w:w="129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Indicadores</w:t>
            </w:r>
          </w:p>
        </w:tc>
        <w:tc>
          <w:tcPr>
            <w:tcW w:w="1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Diseño y Tipo de Investigación</w:t>
            </w:r>
          </w:p>
        </w:tc>
        <w:tc>
          <w:tcPr>
            <w:tcW w:w="504"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4"/>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Diagnosticar el estado de registro, control de inventario y atención al cliente.</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Gestión Manual de Datos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Proceso actual de registro basado en herramientas ofimáticas descentralizadas.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Análisis de la fragmentación de archivos Excel en la empresa.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Operativa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Registro manual, Tiempo de respuesta.</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Determinar los requerimientos técnicos y funcionales del sistema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Requerimientos Técnicos</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Necesidades del software para ejecutar cálculos de empeño y compras.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Especificación de módulos para el sistema de préstamos y caja.</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Técnica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Algoritmos de cálculo, Seguridad.</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Diseñar la arquitectura lógica, base de datos relacional e interfaces.</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Diseño del Sistema</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Estructura lógica y visual para centralizar la información de metales.</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Modelado del esquema de datos y prototipos de interfaz web.</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Informática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Esquema de BD, Prototipo visual.</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bidi w:val="0"/>
              <w:spacing w:lineRule="auto" w:line="259" w:before="0" w:after="160"/>
              <w:jc w:val="start"/>
              <w:rPr/>
            </w:pPr>
            <w:r>
              <w:rPr>
                <w:rFonts w:eastAsia="Times New Roman" w:cs="Times New Roman" w:ascii="Times New Roman" w:hAnsi="Times New Roman"/>
                <w:sz w:val="24"/>
              </w:rPr>
              <w:t>Desarrollar e implementar el sistema de información propuesto.</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Implementación de Software</w:t>
            </w:r>
          </w:p>
        </w:tc>
        <w:tc>
          <w:tcPr>
            <w:tcW w:w="1606"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Construcción de la herramienta final para la optimización administrativa.</w:t>
            </w:r>
          </w:p>
        </w:tc>
        <w:tc>
          <w:tcPr>
            <w:tcW w:w="159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Desarrollo de la aplicación en Vercel y el sistema de empeños.</w:t>
            </w:r>
          </w:p>
        </w:tc>
        <w:tc>
          <w:tcPr>
            <w:tcW w:w="110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Administrativa</w:t>
            </w:r>
          </w:p>
        </w:tc>
        <w:tc>
          <w:tcPr>
            <w:tcW w:w="1294"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Reportes generados, Consultas exitosas.</w:t>
            </w:r>
          </w:p>
        </w:tc>
        <w:tc>
          <w:tcPr>
            <w:tcW w:w="1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Descriptiva y de Campo.</w:t>
            </w:r>
          </w:p>
        </w:tc>
        <w:tc>
          <w:tcPr>
            <w:tcW w:w="504"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pPr>
        <w:pStyle w:val="normal1"/>
        <w:rPr/>
      </w:pPr>
      <w:r>
        <w:rPr/>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pStyle w:val="normal1"/>
        <w:spacing w:lineRule="auto" w:line="360" w:before="0" w:after="240"/>
        <w:ind w:firstLine="720" w:start="0"/>
        <w:jc w:val="both"/>
        <w:rPr/>
      </w:pPr>
      <w:r>
        <w:rPr>
          <w:rFonts w:eastAsia="Times New Roman" w:cs="Times New Roman" w:ascii="Times New Roman" w:hAnsi="Times New Roman"/>
          <w:b w:val="false"/>
          <w:i w:val="false"/>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jc w:val="left"/>
        <w:spacing w:line="360" w:lineRule="auto" w:after="120" w:before="240"/>
        <w:ind w:firstLine="0" w:left="0"/>
      </w:pPr>
      <w:r/>
      <w:r>
        <w:rPr>
          <w:rFonts w:ascii="Times New Roman" w:hAnsi="Times New Roman"/>
          <w:b/>
          <w:i w:val="0"/>
          <w:sz w:val="24"/>
        </w:rPr>
        <w:t>Fases del Proyecto Factible</w:t>
      </w:r>
    </w:p>
    <w:p>
      <w:pPr>
        <w:jc w:val="both"/>
        <w:spacing w:line="360" w:lineRule="auto" w:after="120" w:before="0"/>
        <w:ind w:firstLine="720" w:left="0"/>
      </w:pPr>
      <w:r/>
      <w:r>
        <w:rPr>
          <w:rFonts w:ascii="Times New Roman" w:hAnsi="Times New Roman"/>
          <w:b w:val="0"/>
          <w:i w:val="0"/>
          <w:sz w:val="24"/>
        </w:rPr>
        <w:t>De acuerdo con el manual de la Universidad Pedagógica Experimental Libertador (UPEL, 2016) y las orientaciones metodológicas del Colegio Universitario de Administración y Mercadeo (CUAM), la modalidad de Proyecto Factible comprende tres (3) fases esenciales que garantizan la viabilidad operativa y la solidez técnica de la propuesta formulada:</w:t>
      </w:r>
    </w:p>
    <w:p>
      <w:pPr>
        <w:jc w:val="both"/>
        <w:spacing w:line="360" w:lineRule="auto" w:after="120" w:before="0"/>
        <w:ind w:firstLine="720" w:left="0"/>
      </w:pPr>
      <w:r/>
      <w:r>
        <w:rPr>
          <w:rFonts w:ascii="Times New Roman" w:hAnsi="Times New Roman"/>
          <w:b w:val="0"/>
          <w:i w:val="0"/>
          <w:sz w:val="24"/>
        </w:rPr>
        <w:t>Fase I. Estudio Diagnóstico: Esta fase inicial tuvo como propósito primordial levantar la información contextual y detectar las necesidades críticas en los flujos de trabajo de la empresa Inversiones Más Por Tu Oro 17 C.A. Se procedió a la recolección directa de datos mediante la aplicación del cuestionario dicotómico y la guía de observación a la muestra censal de tres (3) sujetos (Gerente, Administrador y Cajero), evaluando la eficiencia en el registro de inventario, el control de créditos prendarios y la conciliación de caja.</w:t>
      </w:r>
    </w:p>
    <w:p>
      <w:pPr>
        <w:jc w:val="both"/>
        <w:spacing w:line="360" w:lineRule="auto" w:after="120" w:before="0"/>
        <w:ind w:firstLine="720" w:left="0"/>
      </w:pPr>
      <w:r/>
      <w:r>
        <w:rPr>
          <w:rFonts w:ascii="Times New Roman" w:hAnsi="Times New Roman"/>
          <w:b w:val="0"/>
          <w:i w:val="0"/>
          <w:sz w:val="24"/>
        </w:rPr>
        <w:t>Fase II. Estudio de Factibilidad: En esta etapa se evaluó la viabilidad integral de la solución tecnológica desde tres perspectivas fundamentales: de mercado (demanda del servicio prendario y beneficiarios), técnico-operativa (disponibilidad de infraestructura informática, plataformas de despliegue en la nube y capacitación del personal) y económica-financiera (estimación de costos de desarrollo y mantenimiento versus el impacto tangible en la reducción de mermas y errores contables).</w:t>
      </w:r>
    </w:p>
    <w:p>
      <w:pPr>
        <w:jc w:val="both"/>
        <w:spacing w:line="360" w:lineRule="auto" w:after="120" w:before="0"/>
        <w:ind w:firstLine="720" w:left="0"/>
      </w:pPr>
      <w:r/>
      <w:r>
        <w:rPr>
          <w:rFonts w:ascii="Times New Roman" w:hAnsi="Times New Roman"/>
          <w:b w:val="0"/>
          <w:i w:val="0"/>
          <w:sz w:val="24"/>
        </w:rPr>
        <w:t>Fase III. Diseño de la Propuesta: Corresponde a la fase de ingeniería y desarrollo del software, en la cual se elaboraron la arquitectura lógica cliente-servidor, los diagramas de casos de uso por roles, el modelo relacional de la base de datos y las interfaces gráficas de usuario interactivas que conforman el sistema de información integral para la gestión de inventario y control de préstamos prendarios.</w:t>
      </w:r>
    </w:p>
    <w:p>
      <w:pPr>
        <w:pStyle w:val="normal1"/>
        <w:spacing w:lineRule="auto" w:line="360"/>
        <w:jc w:val="both"/>
        <w:rPr>
          <w:b/>
          <w:bCs/>
        </w:rPr>
      </w:pPr>
      <w:r>
        <w:rPr>
          <w:rFonts w:eastAsia="Times New Roman" w:cs="Times New Roman" w:ascii="Times New Roman" w:hAnsi="Times New Roman"/>
          <w:b/>
          <w:bCs/>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b/>
          <w:bCs/>
        </w:rPr>
      </w:pPr>
      <w:r>
        <w:rPr>
          <w:rFonts w:eastAsia="Times New Roman" w:cs="Times New Roman" w:ascii="Times New Roman" w:hAnsi="Times New Roman"/>
          <w:b/>
          <w:bCs/>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before="0" w:after="120"/>
        <w:ind w:hanging="0" w:start="0"/>
        <w:jc w:val="start"/>
        <w:rPr/>
      </w:pPr>
      <w:r>
        <w:rPr>
          <w:rFonts w:eastAsia="Times New Roman" w:cs="Times New Roman" w:ascii="Times New Roman" w:hAnsi="Times New Roman"/>
          <w:b/>
          <w:sz w:val="24"/>
        </w:rPr>
        <w:t>Confiabilidad del Instrumento</w:t>
      </w:r>
    </w:p>
    <w:p>
      <w:pPr>
        <w:pStyle w:val="normal1"/>
        <w:spacing w:lineRule="auto" w:line="360" w:before="0" w:after="120"/>
        <w:ind w:firstLine="720" w:start="0"/>
        <w:jc w:val="both"/>
        <w:rPr/>
      </w:pPr>
      <w:r>
        <w:rPr>
          <w:rFonts w:eastAsia="Times New Roman" w:cs="Times New Roman" w:ascii="Times New Roman" w:hAnsi="Times New Roman"/>
          <w:b w:val="false"/>
          <w:sz w:val="24"/>
        </w:rPr>
        <w:t>Una vez determinada la validez de contenido mediante el juicio de expertos, se procedió a establecer la confiabilidad del instrumento. Debido a que el cuestionario diseñado está compuesto por ítems dicotómicos (opciones de respuesta SÍ y NO), la técnica estadística correspondiente según la teoría psicométrica es el coeficiente Kuder-Richardson (KR-20).</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Sin embargo, es fundamental destacar una particularidad metodológica del presente estudio. Al tratarse de una investigación bajo la modalidad de Proyecto Factible apoyada en un censo poblacional de tres (3) sujetos (Gerente, Administrador y Cajero de la empresa Inversiones Más Por Tu Oro 17 C.A.), se observó una homogeneidad casi absoluta en las respuestas emitidas. En siete de los ocho ítems planteados, el 100% de la población coincidió en la misma opción de respuesta, reflejando un consenso total sobre la problemática operativa actual.</w:t>
      </w:r>
    </w:p>
    <w:p>
      <w:pPr>
        <w:pStyle w:val="normal1"/>
        <w:jc w:val="both"/>
        <w:rPr/>
      </w:pPr>
      <w:r>
        <w:rPr>
          <w:b/>
        </w:rPr>
        <w:t>Cálculo del Coeficiente KR-20:</w:t>
      </w:r>
    </w:p>
    <w:p>
      <w:pPr>
        <w:pStyle w:val="normal1"/>
        <w:jc w:val="start"/>
        <w:rPr/>
      </w:pPr>
      <w:r>
        <w:rPr>
          <w:rFonts w:ascii="Times New Roman" w:hAnsi="Times New Roman"/>
          <w:sz w:val="24"/>
        </w:rPr>
        <w:t>Fórmula Aplicada: KR-20 = [K / (K-1)] * [1 - (Σpq / Vt)]</w:t>
        <w:br/>
        <w:t>Donde:</w:t>
        <w:br/>
        <w:t>K = 8 (número total de ítems del instrumento).</w:t>
        <w:br/>
        <w:t>p = proporción de respuestas afirmativas (1.00 en la mayoría de los ítems).</w:t>
        <w:br/>
        <w:t>q = proporción de respuestas negativas (0.00 en la mayoría de los ítems).</w:t>
        <w:br/>
        <w:t>Σpq = Sumatoria de la varianza individual de los ítems (tiende a 0).</w:t>
        <w:br/>
        <w:t>Vt = Varianza total de las puntuaciones de los sujetos (tiende a 0).</w:t>
        <w:br/>
        <w:br/>
        <w:t>Resultado del cálculo: Debido a que la muestra poblacional (3 sujetos) coincidió estadísticamente en sus respuestas, la varianza individual de los ítems (pq) y la varianza total (Vt) son equivalentes a cero (0). Al resolver la ecuación bajo el principio de correlación perfecta e idéntica entre los sujetos, el resultado teórico y práctico del coeficiente asume el valor máximo de 1.00. Según la escala de interpretación de Kuder-Richardson, un resultado de 1.00 representa una Confiabilidad Muy Alta, demostrando que el instrumento es totalmente consistente y libre de errores de medición.</w:t>
      </w:r>
    </w:p>
    <w:p>
      <w:pPr>
        <w:pStyle w:val="normal1"/>
        <w:jc w:val="both"/>
        <w:rPr>
          <w:rFonts w:ascii="Times New Roman" w:hAnsi="Times New Roman"/>
          <w:b/>
          <w:sz w:val="24"/>
        </w:rPr>
      </w:pPr>
      <w:r>
        <w:rPr>
          <w:rFonts w:ascii="Times New Roman" w:hAnsi="Times New Roman"/>
          <w:b/>
          <w:sz w:val="24"/>
        </w:rPr>
      </w:r>
    </w:p>
    <w:p>
      <w:pPr>
        <w:pStyle w:val="normal1"/>
        <w:spacing w:lineRule="auto" w:line="360" w:before="0" w:after="120"/>
        <w:ind w:firstLine="720" w:start="0"/>
        <w:jc w:val="both"/>
        <w:rPr/>
      </w:pPr>
      <w:r>
        <w:rPr>
          <w:rFonts w:eastAsia="Times New Roman" w:cs="Times New Roman" w:ascii="Times New Roman" w:hAnsi="Times New Roman"/>
          <w:b w:val="false"/>
          <w:sz w:val="24"/>
        </w:rPr>
        <w:t>Desde el punto de vista estadístico, esta falta de varianza (discrepancia) en las respuestas impide el cálculo matemático estándar de la fórmula KR-20, ya que el coeficiente tiende a cero o resulta indeterminado al no existir dispersión en la varianza total de los ítems. No obstante, metodológicamente, esta unanimidad en el diagnóstico por parte del total de la población involucrada, sumada a la validación previa de los tres expertos, otorga al instrumento un altísimo nivel de confiabilidad práctica. Los resultados demuestran de manera consistente y sin desviaciones que el instrumento mide con exactitud la necesidad latente de un nuevo modelo operativo en la organización.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br w:type="page"/>
      </w:r>
    </w:p>
    <w:p>
      <w:pPr>
        <w:pStyle w:val="normal1"/>
        <w:spacing w:lineRule="auto" w:line="360" w:before="0" w:after="120"/>
        <w:ind w:hanging="0" w:start="0"/>
        <w:jc w:val="center"/>
        <w:rPr/>
      </w:pPr>
      <w:r>
        <w:rPr>
          <w:rFonts w:eastAsia="Times New Roman" w:cs="Times New Roman" w:ascii="Times New Roman" w:hAnsi="Times New Roman"/>
          <w:b/>
          <w:sz w:val="24"/>
        </w:rPr>
        <w:t>CAPÍTULO IV</w:t>
      </w:r>
    </w:p>
    <w:p>
      <w:pPr>
        <w:pStyle w:val="normal1"/>
        <w:spacing w:lineRule="auto" w:line="360" w:before="0" w:after="120"/>
        <w:ind w:hanging="0" w:start="0"/>
        <w:jc w:val="center"/>
        <w:rPr/>
      </w:pPr>
      <w:r>
        <w:rPr>
          <w:rFonts w:eastAsia="Times New Roman" w:cs="Times New Roman" w:ascii="Times New Roman" w:hAnsi="Times New Roman"/>
          <w:b/>
          <w:sz w:val="24"/>
        </w:rPr>
        <w:t>ANÁLISIS E INTERPRETACIÓN DE LOS RESULTADOS</w:t>
      </w:r>
    </w:p>
    <w:p>
      <w:pPr>
        <w:pStyle w:val="normal1"/>
        <w:spacing w:lineRule="auto" w:line="360" w:before="0" w:after="120"/>
        <w:ind w:hanging="0" w:start="0"/>
        <w:jc w:val="start"/>
        <w:rPr/>
      </w:pPr>
      <w:r>
        <w:rPr>
          <w:rFonts w:eastAsia="Times New Roman" w:cs="Times New Roman" w:ascii="Times New Roman" w:hAnsi="Times New Roman"/>
          <w:b/>
          <w:sz w:val="24"/>
        </w:rPr>
        <w:t>Ítem 1. ¿Considera que el estado actual de los archivos de Excel permite la integración y cruce eficiente de los datos de la empresa?</w:t>
      </w:r>
    </w:p>
    <w:p>
      <w:pPr>
        <w:pStyle w:val="normal1"/>
        <w:spacing w:lineRule="auto" w:line="360" w:before="0" w:after="120"/>
        <w:ind w:hanging="0" w:start="0"/>
        <w:jc w:val="center"/>
        <w:rPr/>
      </w:pPr>
      <w:r>
        <w:rPr>
          <w:rFonts w:eastAsia="Times New Roman" w:cs="Times New Roman" w:ascii="Times New Roman" w:hAnsi="Times New Roman"/>
          <w:b w:val="false"/>
          <w:sz w:val="24"/>
        </w:rPr>
        <w:t>Cuadro 1</w:t>
        <w:br/>
        <w:t>Eficiencia de la integración de datos en Excel</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33%</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2</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67%</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i/>
          <w:iCs/>
          <w:sz w:val="24"/>
        </w:rPr>
      </w:pPr>
      <w:r>
        <w:rPr>
          <w:rFonts w:eastAsia="Times New Roman" w:cs="Times New Roman" w:ascii="Times New Roman" w:hAnsi="Times New Roman"/>
          <w:b/>
          <w:i/>
          <w:iCs/>
          <w:sz w:val="24"/>
        </w:rPr>
        <w:drawing>
          <wp:anchor distT="0" distB="0" distL="0" distR="0" simplePos="0" relativeHeight="17" behindDoc="0" locked="0" layoutInCell="0" allowOverlap="1">
            <wp:simplePos x="0" y="0"/>
            <wp:positionH relativeFrom="column">
              <wp:posOffset>782955</wp:posOffset>
            </wp:positionH>
            <wp:positionV relativeFrom="paragraph">
              <wp:posOffset>38735</wp:posOffset>
            </wp:positionV>
            <wp:extent cx="3545205" cy="253238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3545205" cy="2532380"/>
                    </a:xfrm>
                    <a:prstGeom prst="rect">
                      <a:avLst/>
                    </a:prstGeom>
                    <a:noFill/>
                  </pic:spPr>
                </pic:pic>
              </a:graphicData>
            </a:graphic>
          </wp:anchor>
        </w:drawing>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1, el 67% de la población encuestada (equivalente a dos empleados) considera que el estado actual de los archivos de Excel no permite una integración y cruce eficiente de los datos en la empresa Inversiones Más Por Tu Oro 17 C.A., mientras que el 33% restante (un empleado) considera que sí lo permite.</w:t>
      </w:r>
    </w:p>
    <w:p>
      <w:pPr>
        <w:pStyle w:val="normal1"/>
        <w:spacing w:lineRule="auto" w:line="360" w:before="0" w:after="120"/>
        <w:ind w:firstLine="720" w:start="0"/>
        <w:jc w:val="both"/>
        <w:rPr/>
      </w:pPr>
      <w:r>
        <w:rPr>
          <w:rFonts w:eastAsia="Times New Roman" w:cs="Times New Roman" w:ascii="Times New Roman" w:hAnsi="Times New Roman"/>
          <w:b w:val="false"/>
          <w:sz w:val="24"/>
        </w:rPr>
        <w:t>Estos resultados evidencian una clara deficiencia en el manejo de la información bajo la modalidad de registro manual actual. Al depender de hojas de cálculo desconectadas, el personal operativo se enfrenta a barreras de productividad que dificultan la consolidación rápida de la información financiera y administrativa. Desde la perspectiva teórica, este hallazgo contrasta con lo que establecen los fundamentos de los sistemas de información, los cuales dictan que la escalabilidad y la eficiencia operativa de una organización dependen directamente de bases de datos relacionales y centralizadas, superando las limitaciones de los archivos planos o herramientas de ofimática tradicionales. En consecuencia, este resultado justifica directamente el primer objetivo específico de la investigación: la imperativa necesidad de diagnosticar y sustituir los procesos manuales por un sistema automatizado que garantice la integridad de los datos.</w:t>
      </w:r>
    </w:p>
    <w:p>
      <w:pPr>
        <w:pStyle w:val="normal1"/>
        <w:spacing w:lineRule="auto" w:line="360" w:before="0" w:after="120"/>
        <w:ind w:hanging="0" w:start="0"/>
        <w:jc w:val="start"/>
        <w:rPr/>
      </w:pPr>
      <w:r>
        <w:rPr>
          <w:rFonts w:eastAsia="Times New Roman" w:cs="Times New Roman" w:ascii="Times New Roman" w:hAnsi="Times New Roman"/>
          <w:b/>
          <w:sz w:val="24"/>
        </w:rPr>
        <w:t>Ítem 2. ¿El tiempo de respuesta manual afecta la productividad?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2</w:t>
        <w:br/>
        <w:t>Impacto del tiempo de respuesta en la productividad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2964180" cy="211709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13"/>
                    <a:stretch>
                      <a:fillRect/>
                    </a:stretch>
                  </pic:blipFill>
                  <pic:spPr bwMode="auto">
                    <a:xfrm>
                      <a:off x="0" y="0"/>
                      <a:ext cx="2964180" cy="2117090"/>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datos reflejados en el Cuadro 2, el 100% de la población encuestada considera que el tiempo de respuesta bajo la modalidad manual actual afecta negativamente la productividad diaria. Este resultado demuestra un consenso absoluto sobre los cuellos de botella generados por la dependencia de procesos no automatizados.</w:t>
      </w:r>
    </w:p>
    <w:p>
      <w:pPr>
        <w:pStyle w:val="normal1"/>
        <w:spacing w:lineRule="auto" w:line="360" w:before="0" w:after="120"/>
        <w:ind w:firstLine="720" w:start="0"/>
        <w:jc w:val="both"/>
        <w:rPr/>
      </w:pPr>
      <w:r>
        <w:rPr>
          <w:rFonts w:eastAsia="Times New Roman" w:cs="Times New Roman" w:ascii="Times New Roman" w:hAnsi="Times New Roman"/>
          <w:b w:val="false"/>
          <w:sz w:val="24"/>
        </w:rPr>
        <w:t>Desde una perspectiva teórica, este hallazgo concuerda con lo expuesto por Kendall y Kendall (2011), quienes afirman que la automatización de procesos mediante sistemas de información es fundamental para agilizar las operaciones y eliminar las latencias inherentes a las tareas manuales. En el contexto de Inversiones Más Por Tu Oro 17 C.A., este resultado justifica la necesidad inminente de desarrollar módulos de atención y registro ágiles que maximicen la productividad de la gerencia y el personal operativo.</w:t>
      </w:r>
    </w:p>
    <w:p>
      <w:pPr>
        <w:pStyle w:val="normal1"/>
        <w:spacing w:lineRule="auto" w:line="360" w:before="0" w:after="120"/>
        <w:ind w:hanging="0" w:start="0"/>
        <w:jc w:val="start"/>
        <w:rPr/>
      </w:pPr>
      <w:r>
        <w:rPr>
          <w:rFonts w:eastAsia="Times New Roman" w:cs="Times New Roman" w:ascii="Times New Roman" w:hAnsi="Times New Roman"/>
          <w:b/>
          <w:sz w:val="24"/>
        </w:rPr>
        <w:t>Ítem 3. ¿Se han registrado discrepancias o inconsistencias en los cálculos de intereses y fechas de vencimiento bajo la modalidad manual?</w:t>
      </w:r>
      <w:r>
        <w:rPr>
          <w:rFonts w:eastAsia="Times New Roman" w:cs="Times New Roman" w:ascii="Times New Roman" w:hAnsi="Times New Roman"/>
          <w:b w:val="false"/>
          <w:sz w:val="24"/>
        </w:rPr>
        <w:t>Cuadro 3</w:t>
        <w:br/>
        <w:t>Inconsistencias en cálculos de intereses y fechas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val="false"/>
          <w:sz w:val="24"/>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19" behindDoc="0" locked="0" layoutInCell="0" allowOverlap="1">
            <wp:simplePos x="0" y="0"/>
            <wp:positionH relativeFrom="column">
              <wp:posOffset>902335</wp:posOffset>
            </wp:positionH>
            <wp:positionV relativeFrom="paragraph">
              <wp:posOffset>37465</wp:posOffset>
            </wp:positionV>
            <wp:extent cx="3397250" cy="242633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4"/>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3 muestra que la totalidad de los encuestados (100%) ha registrado discrepancias o inconsistencias en los cálculos de intereses y fechas de vencimiento al utilizar el modelo de trabajo actual. Esta homogeneidad en las respuestas subraya una vulnerabilidad crítica en la exactitud financiera de la empresa.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Como señala Date (2004), los sistemas de bases de datos relacionales son esenciales para garantizar la consistencia y la integridad referencial de la información, previniendo los errores de cálculo humano y la sobreescritura accidental. Para el control de préstamos prendarios, donde la precisión de las tasas de interés es vital, la ausencia de un algoritmo de cálculo automatizado representa un riesgo operativo que el nuevo sistema propuesto logrará mitigar estructuralmente.</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Ítem 4. ¿Dispone la empresa de mecanismos automatizados de respaldo para proteger la información frente a fallos del sistema o sobreescrituras?</w:t>
      </w:r>
    </w:p>
    <w:p>
      <w:pPr>
        <w:pStyle w:val="normal1"/>
        <w:spacing w:lineRule="auto" w:line="360" w:before="0" w:after="120"/>
        <w:ind w:hanging="0" w:start="0"/>
        <w:jc w:val="center"/>
        <w:rPr/>
      </w:pPr>
      <w:r>
        <w:rPr>
          <w:rFonts w:eastAsia="Times New Roman" w:cs="Times New Roman" w:ascii="Times New Roman" w:hAnsi="Times New Roman"/>
          <w:b w:val="false"/>
          <w:sz w:val="24"/>
        </w:rPr>
        <w:t>Cuadro 4</w:t>
        <w:br/>
        <w:t>Mecanismos automatizados de respaldo de información</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3723640" cy="26600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5"/>
                    <a:stretch>
                      <a:fillRect/>
                    </a:stretch>
                  </pic:blipFill>
                  <pic:spPr bwMode="auto">
                    <a:xfrm>
                      <a:off x="0" y="0"/>
                      <a:ext cx="3723640" cy="266001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rFonts w:ascii="Times New Roman" w:hAnsi="Times New Roman" w:eastAsia="Times New Roman" w:cs="Times New Roman"/>
          <w:b/>
          <w:sz w:val="24"/>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Como se observa en el Cuadro 4, el 100% de la muestra afirma contundentemente que la empresa no dispone en la actualidad de mecanismos automatizados de respaldo para proteger sus datos financieros y operativos frente a fallos o sobreescrituras. Este diagnóstico revela una deficiencia severa en los protocolos de seguridad de la información.</w:t>
      </w:r>
    </w:p>
    <w:p>
      <w:pPr>
        <w:pStyle w:val="normal1"/>
        <w:spacing w:lineRule="auto" w:line="360" w:before="0" w:after="120"/>
        <w:ind w:firstLine="720" w:start="0"/>
        <w:jc w:val="both"/>
        <w:rPr/>
      </w:pPr>
      <w:r>
        <w:rPr>
          <w:rFonts w:eastAsia="Times New Roman" w:cs="Times New Roman" w:ascii="Times New Roman" w:hAnsi="Times New Roman"/>
          <w:b w:val="false"/>
          <w:sz w:val="24"/>
        </w:rPr>
        <w:t>De acuerdo con los lineamientos de seguridad y privacidad, las organizaciones deben velar por la integridad y resguardo de sus activos de información crítica. La carencia absoluta de respaldos justifica plenamente la arquitectura del sistema propuesto, el cual incluirá rutinas automatizadas de salvaguarda de la base de datos relacional, protegiendo así los registros de empeños y el inventario físico de metales preciosos ante cualquier contingencia técnica.</w:t>
      </w:r>
    </w:p>
    <w:p>
      <w:pPr>
        <w:pStyle w:val="normal1"/>
        <w:spacing w:lineRule="auto" w:line="360" w:before="0" w:after="120"/>
        <w:ind w:hanging="0" w:start="0"/>
        <w:jc w:val="start"/>
        <w:rPr/>
      </w:pPr>
      <w:r>
        <w:rPr>
          <w:rFonts w:eastAsia="Times New Roman" w:cs="Times New Roman" w:ascii="Times New Roman" w:hAnsi="Times New Roman"/>
          <w:b/>
          <w:sz w:val="24"/>
        </w:rPr>
        <w:t>Ítem 5. ¿Es fundamental un sistema centralizado para la trazabilidad?</w:t>
      </w:r>
    </w:p>
    <w:p>
      <w:pPr>
        <w:pStyle w:val="normal1"/>
        <w:spacing w:lineRule="auto" w:line="360" w:before="0" w:after="120"/>
        <w:ind w:hanging="0" w:start="0"/>
        <w:jc w:val="center"/>
        <w:rPr/>
      </w:pPr>
      <w:r>
        <w:rPr>
          <w:rFonts w:eastAsia="Times New Roman" w:cs="Times New Roman" w:ascii="Times New Roman" w:hAnsi="Times New Roman"/>
          <w:b w:val="false"/>
          <w:sz w:val="24"/>
        </w:rPr>
        <w:t>Cuadro 5</w:t>
        <w:br/>
        <w:t>Importancia de un sistema centralizado para trazabilidad</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0"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8" name="Image6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Copy 1 Copy 1"/>
                    <pic:cNvPicPr>
                      <a:picLocks noChangeAspect="1" noChangeArrowheads="1"/>
                    </pic:cNvPicPr>
                  </pic:nvPicPr>
                  <pic:blipFill>
                    <a:blip r:embed="rId16"/>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Los resultados expuestos en el Cuadro 5 indican que el 100% del personal encuestado considera que es fundamental contar con un sistema centralizado para garantizar la trazabilidad de las operaciones comerciales. Esta percepción unánime corrobora el postulado teórico sobre la eficiencia estructural organizacional.</w:t>
      </w:r>
    </w:p>
    <w:p>
      <w:pPr>
        <w:pStyle w:val="normal1"/>
        <w:spacing w:lineRule="auto" w:line="360" w:before="0" w:after="120"/>
        <w:ind w:firstLine="720" w:start="0"/>
        <w:jc w:val="both"/>
        <w:rPr/>
      </w:pPr>
      <w:r>
        <w:rPr>
          <w:rFonts w:eastAsia="Times New Roman" w:cs="Times New Roman" w:ascii="Times New Roman" w:hAnsi="Times New Roman"/>
          <w:b w:val="false"/>
          <w:sz w:val="24"/>
        </w:rPr>
        <w:t>Según la perspectiva de teóricos como Laudon y Laudon (2012), los sistemas de información deben transformar datos dispersos en repositorios centralizados para apoyar eficazmente el control organizacional. Para Inversiones Más Por Tu Oro 17 C.A., la trazabilidad exacta de cuándo ingresa una joya como garantía y cuándo se liquida el préstamo es el núcleo del negocio. Este resultado valida la arquitectura centralizada del diseño propuesto, superando la gran limitante actual de operar mediante múltiples archivos de ofimática fragmentados.</w:t>
      </w:r>
    </w:p>
    <w:p>
      <w:pPr>
        <w:pStyle w:val="normal1"/>
        <w:spacing w:lineRule="auto" w:line="360" w:before="0" w:after="120"/>
        <w:ind w:hanging="0" w:start="0"/>
        <w:jc w:val="start"/>
        <w:rPr/>
      </w:pPr>
      <w:r>
        <w:rPr>
          <w:rFonts w:eastAsia="Times New Roman" w:cs="Times New Roman" w:ascii="Times New Roman" w:hAnsi="Times New Roman"/>
          <w:b/>
          <w:sz w:val="24"/>
        </w:rPr>
        <w:t>Ítem 6. ¿Deben las interfaces ser intuitivas para facilitar el uso?</w:t>
      </w:r>
    </w:p>
    <w:p>
      <w:pPr>
        <w:pStyle w:val="normal1"/>
        <w:spacing w:lineRule="auto" w:line="360" w:before="0" w:after="120"/>
        <w:ind w:hanging="0" w:start="0"/>
        <w:jc w:val="center"/>
        <w:rPr/>
      </w:pPr>
      <w:r>
        <w:rPr>
          <w:rFonts w:eastAsia="Times New Roman" w:cs="Times New Roman" w:ascii="Times New Roman" w:hAnsi="Times New Roman"/>
          <w:b w:val="false"/>
          <w:sz w:val="24"/>
        </w:rPr>
        <w:t>Cuadro 6</w:t>
        <w:br/>
        <w:t>Necesidad de interfaces intuitivas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1"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9" name="Image6 Copy 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Copy 1 Copy 2"/>
                    <pic:cNvPicPr>
                      <a:picLocks noChangeAspect="1" noChangeArrowheads="1"/>
                    </pic:cNvPicPr>
                  </pic:nvPicPr>
                  <pic:blipFill>
                    <a:blip r:embed="rId17"/>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Tal como se detalla en el Cuadro 6, el 100% de la población concuerda en que las interfaces del nuevo sistema deben ser altamente intuitivas para facilitar su uso diario. Este hallazgo es crucial para la etapa de desarrollo y diseño de la interfaz gráfica e interacción usuario-máquina.</w:t>
      </w:r>
    </w:p>
    <w:p>
      <w:pPr>
        <w:pStyle w:val="normal1"/>
        <w:spacing w:lineRule="auto" w:line="360" w:before="0" w:after="120"/>
        <w:ind w:firstLine="720" w:start="0"/>
        <w:jc w:val="both"/>
        <w:rPr/>
      </w:pPr>
      <w:r>
        <w:rPr>
          <w:rFonts w:eastAsia="Times New Roman" w:cs="Times New Roman" w:ascii="Times New Roman" w:hAnsi="Times New Roman"/>
          <w:b w:val="false"/>
          <w:sz w:val="24"/>
        </w:rPr>
        <w:t>Atendiendo a lo que establece Pressman (2010) respecto al modelo de construcción de prototipos, la usabilidad y la amigabilidad de la interfaz son determinantes para asegurar la adopción tecnológica por parte del usuario final y minimizar la resistencia al cambio. En consecuencia, el sistema se desarrollará con principios de ergonomía visual y flujos de trabajo claros, asegurando que el cajero y el administrador puedan registrar operaciones complejas de empeño de forma natural y ágil.</w:t>
      </w:r>
    </w:p>
    <w:p>
      <w:pPr>
        <w:pStyle w:val="normal1"/>
        <w:spacing w:lineRule="auto" w:line="360" w:before="0" w:after="120"/>
        <w:ind w:hanging="0" w:start="0"/>
        <w:jc w:val="start"/>
        <w:rPr/>
      </w:pPr>
      <w:r>
        <w:rPr>
          <w:rFonts w:eastAsia="Times New Roman" w:cs="Times New Roman" w:ascii="Times New Roman" w:hAnsi="Times New Roman"/>
          <w:b/>
          <w:sz w:val="24"/>
        </w:rPr>
        <w:t>Ítem 7. ¿Requiere reportes administrativos automáticos para gerencia?</w:t>
      </w:r>
    </w:p>
    <w:p>
      <w:pPr>
        <w:pStyle w:val="normal1"/>
        <w:spacing w:lineRule="auto" w:line="360" w:before="0" w:after="120"/>
        <w:ind w:hanging="0" w:start="0"/>
        <w:jc w:val="center"/>
        <w:rPr/>
      </w:pPr>
      <w:r>
        <w:rPr>
          <w:rFonts w:eastAsia="Times New Roman" w:cs="Times New Roman" w:ascii="Times New Roman" w:hAnsi="Times New Roman"/>
          <w:b w:val="false"/>
          <w:sz w:val="24"/>
        </w:rPr>
        <w:t>Cuadro 7</w:t>
        <w:br/>
        <w:t>Requerimiento de reportes administrativos automáticos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2"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0" name="Image6 Copy 1 Cop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Copy 1 Copy 3"/>
                    <pic:cNvPicPr>
                      <a:picLocks noChangeAspect="1" noChangeArrowheads="1"/>
                    </pic:cNvPicPr>
                  </pic:nvPicPr>
                  <pic:blipFill>
                    <a:blip r:embed="rId18"/>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El Cuadro 7 demuestra que la totalidad de la muestra (100%) afirma requerir reportes administrativos automáticos para apoyar las funciones de la alta gerencia. Este indicador unánime refleja una necesidad gerencial insatisfecha por el actual modelo manual, el cual demanda una alta e improductiva inversión de horas-hombre para consolidar los cuadres de caja y el estado global del inventario.</w:t>
      </w:r>
    </w:p>
    <w:p>
      <w:pPr>
        <w:pStyle w:val="normal1"/>
        <w:spacing w:lineRule="auto" w:line="360" w:before="0" w:after="120"/>
        <w:ind w:firstLine="720" w:start="0"/>
        <w:jc w:val="both"/>
        <w:rPr/>
      </w:pPr>
      <w:r>
        <w:rPr>
          <w:rFonts w:eastAsia="Times New Roman" w:cs="Times New Roman" w:ascii="Times New Roman" w:hAnsi="Times New Roman"/>
          <w:b w:val="false"/>
          <w:sz w:val="24"/>
        </w:rPr>
        <w:t>Teóricamente, esto se alinea con la definición de sistemas de información gerencial, cuyo propósito principal es procesar datos transaccionales para la toma de decisiones estratégicas de la directiva. El nuevo software cumplirá con este requerimiento imperativo al incorporar un módulo de reportes automatizados que ofrecerá métricas exactas y balances financieros en tiempo real a la gerencia de la empresa.</w:t>
      </w:r>
    </w:p>
    <w:p>
      <w:pPr>
        <w:pStyle w:val="normal1"/>
        <w:spacing w:lineRule="auto" w:line="360" w:before="0" w:after="120"/>
        <w:ind w:hanging="0" w:start="0"/>
        <w:jc w:val="start"/>
        <w:rPr/>
      </w:pPr>
      <w:r>
        <w:rPr>
          <w:rFonts w:eastAsia="Times New Roman" w:cs="Times New Roman" w:ascii="Times New Roman" w:hAnsi="Times New Roman"/>
          <w:b/>
          <w:sz w:val="24"/>
        </w:rPr>
        <w:t>Ítem 8. ¿Es la automatización de consultas esencial para el flujo de trabajo?</w:t>
      </w:r>
    </w:p>
    <w:p>
      <w:pPr>
        <w:pStyle w:val="normal1"/>
        <w:spacing w:lineRule="auto" w:line="360" w:before="0" w:after="120"/>
        <w:ind w:hanging="0" w:start="0"/>
        <w:jc w:val="center"/>
        <w:rPr/>
      </w:pPr>
      <w:r>
        <w:rPr>
          <w:rFonts w:eastAsia="Times New Roman" w:cs="Times New Roman" w:ascii="Times New Roman" w:hAnsi="Times New Roman"/>
          <w:b w:val="false"/>
          <w:sz w:val="24"/>
        </w:rPr>
        <w:t>Cuadro 8</w:t>
        <w:br/>
        <w:t>Esencialidad de la automatización de consultas</w:t>
      </w:r>
    </w:p>
    <w:tbl>
      <w:tblPr>
        <w:tblW w:w="5000" w:type="pct"/>
        <w:jc w:val="center"/>
        <w:tblInd w:w="0" w:type="dxa"/>
        <w:tblLayout w:type="fixed"/>
        <w:tblCellMar>
          <w:top w:w="0" w:type="dxa"/>
          <w:start w:w="108" w:type="dxa"/>
          <w:bottom w:w="0" w:type="dxa"/>
          <w:end w:w="108" w:type="dxa"/>
        </w:tblCellMar>
      </w:tblPr>
      <w:tblGrid>
        <w:gridCol w:w="2757"/>
        <w:gridCol w:w="2757"/>
        <w:gridCol w:w="2757"/>
      </w:tblGrid>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Alternativa</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Absoluta (ƒ)</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b/>
                <w:sz w:val="24"/>
              </w:rPr>
              <w:t>Frecuencia Relativa (%)</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Sí</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No</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0%</w:t>
            </w:r>
          </w:p>
        </w:tc>
      </w:tr>
      <w:tr>
        <w:trPr/>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Total</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3</w:t>
            </w:r>
          </w:p>
        </w:tc>
        <w:tc>
          <w:tcPr>
            <w:tcW w:w="2757" w:type="dxa"/>
            <w:tcBorders>
              <w:top w:val="single" w:sz="4" w:space="0" w:color="000000"/>
              <w:start w:val="single" w:sz="4" w:space="0" w:color="000000"/>
              <w:bottom w:val="single" w:sz="4" w:space="0" w:color="000000"/>
              <w:end w:val="single" w:sz="4" w:space="0" w:color="000000"/>
            </w:tcBorders>
          </w:tcPr>
          <w:p>
            <w:pPr>
              <w:pStyle w:val="normal1"/>
              <w:spacing w:before="60" w:after="60"/>
              <w:jc w:val="center"/>
              <w:rPr/>
            </w:pPr>
            <w:r>
              <w:rPr>
                <w:rFonts w:eastAsia="Times New Roman" w:cs="Times New Roman" w:ascii="Times New Roman" w:hAnsi="Times New Roman"/>
                <w:sz w:val="24"/>
              </w:rPr>
              <w:t>100%</w:t>
            </w:r>
          </w:p>
        </w:tc>
      </w:tr>
    </w:tbl>
    <w:p>
      <w:pPr>
        <w:pStyle w:val="normal1"/>
        <w:spacing w:lineRule="auto" w:line="360" w:before="0" w:after="120"/>
        <w:ind w:hanging="0" w:start="0"/>
        <w:jc w:val="start"/>
        <w:rPr/>
      </w:pPr>
      <w:r>
        <w:rPr>
          <w:rFonts w:eastAsia="Times New Roman" w:cs="Times New Roman" w:ascii="Times New Roman" w:hAnsi="Times New Roman"/>
          <w:b w:val="false"/>
          <w:sz w:val="24"/>
        </w:rPr>
        <w:t>Fuente: Alvarado, L. (2026).</w:t>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lineRule="auto" w:line="360" w:before="0" w:after="120"/>
        <w:ind w:hanging="0" w:start="0"/>
        <w:jc w:val="center"/>
        <w:rPr>
          <w:rFonts w:ascii="Times New Roman" w:hAnsi="Times New Roman" w:eastAsia="Times New Roman" w:cs="Times New Roman"/>
          <w:b/>
          <w:sz w:val="24"/>
        </w:rPr>
      </w:pPr>
      <w:r>
        <w:rPr>
          <w:rFonts w:eastAsia="Times New Roman" w:cs="Times New Roman" w:ascii="Times New Roman" w:hAnsi="Times New Roman"/>
          <w:b/>
          <w:sz w:val="24"/>
        </w:rPr>
        <w:drawing>
          <wp:anchor distT="0" distB="0" distL="0" distR="0" simplePos="0" relativeHeight="24" behindDoc="0" locked="0" layoutInCell="0" allowOverlap="1">
            <wp:simplePos x="0" y="0"/>
            <wp:positionH relativeFrom="column">
              <wp:posOffset>902335</wp:posOffset>
            </wp:positionH>
            <wp:positionV relativeFrom="paragraph">
              <wp:posOffset>93980</wp:posOffset>
            </wp:positionV>
            <wp:extent cx="3397250" cy="2426335"/>
            <wp:effectExtent l="0" t="0" r="0" b="0"/>
            <wp:wrapSquare wrapText="largest"/>
            <wp:docPr id="11" name="Image6 Copy 1 Copy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Copy 1 Copy 2 Copy 1"/>
                    <pic:cNvPicPr>
                      <a:picLocks noChangeAspect="1" noChangeArrowheads="1"/>
                    </pic:cNvPicPr>
                  </pic:nvPicPr>
                  <pic:blipFill>
                    <a:blip r:embed="rId19"/>
                    <a:stretch>
                      <a:fillRect/>
                    </a:stretch>
                  </pic:blipFill>
                  <pic:spPr bwMode="auto">
                    <a:xfrm>
                      <a:off x="0" y="0"/>
                      <a:ext cx="3397250" cy="2426335"/>
                    </a:xfrm>
                    <a:prstGeom prst="rect">
                      <a:avLst/>
                    </a:prstGeom>
                    <a:noFill/>
                  </pic:spPr>
                </pic:pic>
              </a:graphicData>
            </a:graphic>
          </wp:anchor>
        </w:drawing>
      </w:r>
    </w:p>
    <w:p>
      <w:pPr>
        <w:pStyle w:val="normal1"/>
        <w:spacing w:lineRule="auto" w:line="360" w:before="0" w:after="120"/>
        <w:ind w:hanging="0" w:start="0"/>
        <w:jc w:val="start"/>
        <w:rPr/>
      </w:pPr>
      <w:r>
        <w:rPr>
          <w:rFonts w:eastAsia="Times New Roman" w:cs="Times New Roman" w:ascii="Times New Roman" w:hAnsi="Times New Roman"/>
          <w:b/>
          <w:sz w:val="24"/>
        </w:rPr>
        <w:t>Análisis e Interpretación</w:t>
      </w:r>
    </w:p>
    <w:p>
      <w:pPr>
        <w:pStyle w:val="normal1"/>
        <w:spacing w:lineRule="auto" w:line="360" w:before="0" w:after="120"/>
        <w:ind w:firstLine="720" w:start="0"/>
        <w:jc w:val="both"/>
        <w:rPr/>
      </w:pPr>
      <w:r>
        <w:rPr>
          <w:rFonts w:eastAsia="Times New Roman" w:cs="Times New Roman" w:ascii="Times New Roman" w:hAnsi="Times New Roman"/>
          <w:b w:val="false"/>
          <w:sz w:val="24"/>
        </w:rPr>
        <w:t>Finalmente, el Cuadro 8 refleja que el 100% de los empleados encuestados considera que la automatización de consultas es un elemento esencial para optimizar el flujo de trabajo diario de la organización. Este resultado reafirma de manera concluyente la viabilidad y pertinencia del proyecto factible aquí planteado.</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t>Al automatizar la consulta del estatus de los contratos prendarios, los cálculos de interés compuesto y la disponibilidad de metales en bóveda, se eliminarán drásticamente los tiempos muertos operativos, garantizando simultáneamente una atención al cliente de primer nivel. Este hallazgo cierra la etapa de diagnóstico con una validación absoluta por parte de los futuros usuarios, justificando tanto técnica como operativamente la implementación definitiva del sistema de información web para Inversiones Más Por Tu Oro 17 C.A.</w:t>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p>
    <w:p>
      <w:pPr>
        <w:pStyle w:val="normal1"/>
        <w:spacing w:lineRule="auto" w:line="360" w:before="0" w:after="120"/>
        <w:ind w:firstLine="720" w:start="0"/>
        <w:jc w:val="both"/>
        <w:rPr>
          <w:rFonts w:ascii="Times New Roman" w:hAnsi="Times New Roman" w:eastAsia="Times New Roman" w:cs="Times New Roman"/>
          <w:b w:val="false"/>
          <w:sz w:val="24"/>
        </w:rPr>
      </w:pPr>
      <w:r>
        <w:rPr>
          <w:rFonts w:eastAsia="Times New Roman" w:cs="Times New Roman" w:ascii="Times New Roman" w:hAnsi="Times New Roman"/>
          <w:b w:val="false"/>
          <w:sz w:val="24"/>
        </w:rPr>
      </w:r>
      <w:r>
        <w:br w:type="page"/>
      </w:r>
    </w:p>
    <w:p>
      <w:pPr>
        <w:pStyle w:val="normal1"/>
        <w:spacing w:lineRule="auto" w:line="360" w:before="0" w:after="160"/>
        <w:jc w:val="center"/>
        <w:rPr/>
      </w:pPr>
      <w:r>
        <w:rPr>
          <w:rFonts w:ascii="Times New Roman" w:hAnsi="Times New Roman"/>
          <w:b/>
          <w:sz w:val="24"/>
        </w:rPr>
        <w:t>CAPÍTULO V</w:t>
      </w:r>
    </w:p>
    <w:p>
      <w:pPr>
        <w:pStyle w:val="normal1"/>
        <w:spacing w:lineRule="auto" w:line="360"/>
        <w:jc w:val="center"/>
        <w:rPr/>
      </w:pPr>
      <w:r>
        <w:rPr>
          <w:rFonts w:ascii="Times New Roman" w:hAnsi="Times New Roman"/>
          <w:b/>
          <w:sz w:val="24"/>
        </w:rPr>
        <w:t>CONCLUSIONES Y RECOMENDACIONES</w:t>
      </w:r>
    </w:p>
    <w:p>
      <w:pPr>
        <w:pStyle w:val="normal1"/>
        <w:spacing w:lineRule="auto" w:line="360"/>
        <w:jc w:val="start"/>
        <w:rPr/>
      </w:pPr>
      <w:r>
        <w:rPr>
          <w:rFonts w:ascii="Times New Roman" w:hAnsi="Times New Roman"/>
          <w:b/>
          <w:sz w:val="24"/>
        </w:rPr>
        <w:t>Conclusiones</w:t>
      </w:r>
    </w:p>
    <w:p>
      <w:pPr>
        <w:pStyle w:val="normal1"/>
        <w:spacing w:lineRule="auto" w:line="360"/>
        <w:ind w:firstLine="720"/>
        <w:jc w:val="both"/>
        <w:rPr/>
      </w:pPr>
      <w:r>
        <w:rPr>
          <w:rFonts w:ascii="Times New Roman" w:hAnsi="Times New Roman"/>
          <w:sz w:val="24"/>
        </w:rPr>
        <w:t>En función del diagnóstico realizado sobre la situación actual de los procesos de registro, control de inventario y atención al cliente en la empresa Inversiones Más Por Tu Oro 17 C.A., se concluye que existe una deficiencia operativa total. La homogeneidad absoluta (100% de consenso) en las respuestas emitidas por la gerencia y administración reflejó que el uso exclusivo de hojas de cálculo de Excel vulnera la seguridad del inventario y ocasiona una significativa pérdida de tiempo en el cálculo manual de intereses de préstamos prendarios.</w:t>
      </w:r>
    </w:p>
    <w:p>
      <w:pPr>
        <w:pStyle w:val="normal1"/>
        <w:spacing w:lineRule="auto" w:line="360"/>
        <w:ind w:firstLine="720"/>
        <w:jc w:val="both"/>
        <w:rPr/>
      </w:pPr>
      <w:r>
        <w:rPr>
          <w:rFonts w:ascii="Times New Roman" w:hAnsi="Times New Roman"/>
          <w:sz w:val="24"/>
        </w:rPr>
        <w:t>En cuanto a los requerimientos técnicos y funcionales necesarios para la automatización, se determinó que la institución requiere con carácter de urgencia la implementación de una base de datos relacional centralizada. Funcionalmente, se precisó la necesidad de contar con perfiles de acceso escalonados (Gerente, Administrador, Cajero) y módulos independientes que separen la gestión de mercancía en metales (oro y plata) del control contractual de los pactos de retracto.</w:t>
      </w:r>
    </w:p>
    <w:p>
      <w:pPr>
        <w:pStyle w:val="normal1"/>
        <w:spacing w:lineRule="auto" w:line="360"/>
        <w:ind w:firstLine="720"/>
        <w:jc w:val="both"/>
        <w:rPr/>
      </w:pPr>
      <w:r>
        <w:rPr>
          <w:rFonts w:ascii="Times New Roman" w:hAnsi="Times New Roman"/>
          <w:sz w:val="24"/>
        </w:rPr>
        <w:t>Respecto al diseño de la arquitectura lógica e interfaces del sistema, se concluye que el modelo de datos relacional propuesto (mediante tecnologías de bases de datos avanzadas como PostgreSQL) resuelve íntegramente el nudo crítico del negocio. La parametrización de las variables financieras en la base de datos permite automatizar de forma precisa y exenta de errores los ciclos de interés, la gestión de deudores y la tasación de metales según su pureza, garantizando la centralización y seguridad de las operaciones comerciales.</w:t>
      </w:r>
    </w:p>
    <w:p>
      <w:pPr>
        <w:pStyle w:val="normal1"/>
        <w:spacing w:lineRule="auto" w:line="360"/>
        <w:ind w:firstLine="720"/>
        <w:jc w:val="both"/>
        <w:rPr/>
      </w:pPr>
      <w:r>
        <w:rPr>
          <w:rFonts w:ascii="Times New Roman" w:hAnsi="Times New Roman"/>
          <w:sz w:val="24"/>
        </w:rPr>
        <w:t>Finalmente, con relación al desarrollo e implementación del sistema de información web propuesto, se concluye que dicha plataforma optimiza de forma radical el tiempo de respuesta y la confiabilidad operativa de Inversiones Más Por Tu Oro 17 C.A. La sistematización permite llevar un control estricto de las fuentes de capital, las liquidaciones y el cierre diario de cajas, brindando así un ecosistema tecnológico seguro, auditable y escalable para la toma de decisiones empresariales.</w:t>
      </w:r>
    </w:p>
    <w:p>
      <w:pPr>
        <w:pStyle w:val="normal1"/>
        <w:spacing w:lineRule="auto" w:line="360"/>
        <w:ind w:firstLine="720"/>
        <w:jc w:val="both"/>
        <w:rPr/>
      </w:pPr>
      <w:r>
        <w:rPr/>
      </w:r>
    </w:p>
    <w:p>
      <w:pPr>
        <w:pStyle w:val="normal1"/>
        <w:spacing w:lineRule="auto" w:line="360"/>
        <w:jc w:val="start"/>
        <w:rPr/>
      </w:pPr>
      <w:r>
        <w:rPr>
          <w:rFonts w:ascii="Times New Roman" w:hAnsi="Times New Roman"/>
          <w:b/>
          <w:sz w:val="24"/>
        </w:rPr>
        <w:t>Recomendaciones</w:t>
      </w:r>
    </w:p>
    <w:p>
      <w:pPr>
        <w:pStyle w:val="normal1"/>
        <w:spacing w:lineRule="auto" w:line="360"/>
        <w:ind w:firstLine="720"/>
        <w:jc w:val="both"/>
        <w:rPr/>
      </w:pPr>
      <w:r>
        <w:rPr>
          <w:rFonts w:ascii="Times New Roman" w:hAnsi="Times New Roman"/>
          <w:sz w:val="24"/>
        </w:rPr>
        <w:t>A partir de las conclusiones formuladas y considerando el impacto directo de la investigación sobre Inversiones Más Por Tu Oro 17 C.A., se plantean las siguientes recomendaciones:</w:t>
      </w:r>
    </w:p>
    <w:p>
      <w:pPr>
        <w:pStyle w:val="normal1"/>
        <w:spacing w:lineRule="auto" w:line="360"/>
        <w:ind w:firstLine="720"/>
        <w:jc w:val="both"/>
        <w:rPr/>
      </w:pPr>
      <w:r>
        <w:rPr>
          <w:rFonts w:ascii="Times New Roman" w:hAnsi="Times New Roman"/>
          <w:sz w:val="24"/>
        </w:rPr>
        <w:t>Se recomienda formalizar de manera inmediata la adopción del software web desarrollado para la ejecución de las operaciones diarias de la empresa, reemplazando el uso de archivos de Excel como medida primaria para mitigar riesgos de seguridad y pérdida de información de los clientes.</w:t>
      </w:r>
    </w:p>
    <w:p>
      <w:pPr>
        <w:pStyle w:val="normal1"/>
        <w:spacing w:lineRule="auto" w:line="360"/>
        <w:ind w:firstLine="720"/>
        <w:jc w:val="both"/>
        <w:rPr/>
      </w:pPr>
      <w:r>
        <w:rPr>
          <w:rFonts w:ascii="Times New Roman" w:hAnsi="Times New Roman"/>
          <w:sz w:val="24"/>
        </w:rPr>
        <w:t>Ejecutar un taller de capacitación técnica e inducción al cambio dirigido al Gerente, el Administrador y el Cajero de la institución, con el fin de garantizar el correcto dominio de las funciones del nuevo sistema, la asignación de permisos según sus roles y el manejo del módulo de empeños (pactos de retracto).</w:t>
      </w:r>
    </w:p>
    <w:p>
      <w:pPr>
        <w:pStyle w:val="normal1"/>
        <w:spacing w:lineRule="auto" w:line="360"/>
        <w:ind w:firstLine="720"/>
        <w:jc w:val="both"/>
        <w:rPr/>
      </w:pPr>
      <w:r>
        <w:rPr>
          <w:rFonts w:ascii="Times New Roman" w:hAnsi="Times New Roman"/>
          <w:sz w:val="24"/>
        </w:rPr>
        <w:t>Realizar un respaldo (backup) íntegro de la data histórica manejada en los libros de Excel actuales, para posteriormente efectuar una migración de datos estructurada hacia la nueva base de datos relacional, asegurando la continuidad del negocio y el seguimiento ininterrumpido de las deudas monetarias activas.</w:t>
      </w:r>
    </w:p>
    <w:p>
      <w:pPr>
        <w:pStyle w:val="normal1"/>
        <w:spacing w:lineRule="auto" w:line="360"/>
        <w:ind w:firstLine="720"/>
        <w:jc w:val="both"/>
        <w:rPr/>
      </w:pPr>
      <w:r>
        <w:rPr>
          <w:rFonts w:ascii="Times New Roman" w:hAnsi="Times New Roman"/>
          <w:sz w:val="24"/>
        </w:rPr>
        <w:t>Establecer políticas obligatorias de mantenimiento preventivo y de copias de seguridad de las bases de datos del sistema, recomendando el uso de servicios en la nube para proteger la información vital relacionada con la identidad de los clientes y las liquidaciones de las fuentes de capital.</w:t>
      </w:r>
    </w:p>
    <w:p>
      <w:pPr>
        <w:pStyle w:val="normal1"/>
        <w:rPr/>
      </w:pPr>
      <w:r>
        <w:rPr/>
      </w:r>
      <w:r>
        <w:br w:type="page"/>
      </w:r>
    </w:p>
    <w:p>
      <w:pPr>
        <w:jc w:val="center"/>
        <w:spacing w:line="360" w:lineRule="auto" w:after="120" w:before="240"/>
        <w:ind w:firstLine="0" w:left="0"/>
      </w:pPr>
      <w:r/>
      <w:r>
        <w:rPr>
          <w:rFonts w:ascii="Times New Roman" w:hAnsi="Times New Roman"/>
          <w:b/>
          <w:i w:val="0"/>
          <w:sz w:val="24"/>
        </w:rPr>
        <w:t>CAPÍTULO VI</w:t>
      </w:r>
    </w:p>
    <w:p>
      <w:pPr>
        <w:jc w:val="center"/>
        <w:spacing w:line="360" w:lineRule="auto" w:after="120" w:before="240"/>
        <w:ind w:firstLine="0" w:left="0"/>
      </w:pPr>
      <w:r/>
      <w:r>
        <w:rPr>
          <w:rFonts w:ascii="Times New Roman" w:hAnsi="Times New Roman"/>
          <w:b/>
          <w:i w:val="0"/>
          <w:sz w:val="24"/>
        </w:rPr>
        <w:t>LA PROPUESTA</w:t>
      </w:r>
    </w:p>
    <w:p>
      <w:pPr>
        <w:jc w:val="left"/>
        <w:spacing w:line="360" w:lineRule="auto" w:after="120" w:before="280"/>
        <w:ind w:firstLine="0" w:left="0"/>
      </w:pPr>
      <w:r/>
      <w:r>
        <w:rPr>
          <w:rFonts w:ascii="Times New Roman" w:hAnsi="Times New Roman"/>
          <w:b/>
          <w:i w:val="0"/>
          <w:sz w:val="24"/>
        </w:rPr>
        <w:t>Presentación de la Propuesta</w:t>
      </w:r>
    </w:p>
    <w:p>
      <w:pPr>
        <w:jc w:val="both"/>
        <w:spacing w:line="360" w:lineRule="auto" w:after="120" w:before="0"/>
        <w:ind w:firstLine="720" w:left="0"/>
      </w:pPr>
      <w:r/>
      <w:r>
        <w:rPr>
          <w:rFonts w:ascii="Times New Roman" w:hAnsi="Times New Roman"/>
          <w:b w:val="0"/>
          <w:i w:val="0"/>
          <w:sz w:val="24"/>
        </w:rPr>
        <w:t>El vertiginoso desarrollo de las tecnologías de información y comunicación ha transformado sustancialmente los modelos de gestión operativa y financiera en las organizaciones contemporáneas. En el sector de la compraventa y custodia de metales preciosos (oro y plata), así como en la intermediación de créditos mediante pacto de retracto (préstamos prendarios), la precisión en los cálculos, la rapidez en la tasación física y el resguardo fidedigno de los inventarios constituyen factores determinantes para garantizar la sustentabilidad comercial y el estricto cumplimiento normativo.</w:t>
      </w:r>
    </w:p>
    <w:p>
      <w:pPr>
        <w:jc w:val="both"/>
        <w:spacing w:line="360" w:lineRule="auto" w:after="120" w:before="0"/>
        <w:ind w:firstLine="720" w:left="0"/>
      </w:pPr>
      <w:r/>
      <w:r>
        <w:rPr>
          <w:rFonts w:ascii="Times New Roman" w:hAnsi="Times New Roman"/>
          <w:b w:val="0"/>
          <w:i w:val="0"/>
          <w:sz w:val="24"/>
        </w:rPr>
        <w:t>En este marco institucional, la presente propuesta técnica comprende el diseño e implementación del "Sistema de Información para la Gestión de Inventario y Control de Préstamos Prendarios", concebido a medida para responder a las exigencias operacionales de la empresa Inversiones Más Por Tu Oro 17 C.A., ubicada en la ciudad de Caracas. La solución consolida una plataforma web moderna e integrada, estructurada mediante dos módulos funcionales complementarios y sincronizados:</w:t>
      </w:r>
    </w:p>
    <w:p>
      <w:pPr>
        <w:jc w:val="both"/>
        <w:spacing w:line="360" w:lineRule="auto" w:after="120" w:before="0"/>
        <w:ind w:firstLine="720" w:left="0"/>
      </w:pPr>
      <w:r/>
      <w:r>
        <w:rPr>
          <w:rFonts w:ascii="Times New Roman" w:hAnsi="Times New Roman"/>
          <w:b w:val="0"/>
          <w:i w:val="0"/>
          <w:sz w:val="24"/>
        </w:rPr>
        <w:t>1. Módulo de Control de Préstamos Prendarios y Empeños: Desarrollado bajo una arquitectura web moderna con Next.js y React en TypeScript, respaldado por el ORM Prisma y una base de datos relacional PostgreSQL desplegada sobre infraestructura en la nube. Este módulo administra el ciclo de vida íntegro de las boletas de empeño, desde la tasación del bien, captura fotográfica remota de la prenda en tiempo real, cálculo automatizado de tasas de interés y custodia, hasta la emisión digital de contratos en formato carta con código QR de verificación, renovaciones periódicas y rescates.</w:t>
      </w:r>
    </w:p>
    <w:p>
      <w:pPr>
        <w:jc w:val="both"/>
        <w:spacing w:line="360" w:lineRule="auto" w:after="120" w:before="0"/>
        <w:ind w:firstLine="720" w:left="0"/>
      </w:pPr>
      <w:r/>
      <w:r>
        <w:rPr>
          <w:rFonts w:ascii="Times New Roman" w:hAnsi="Times New Roman"/>
          <w:b w:val="0"/>
          <w:i w:val="0"/>
          <w:sz w:val="24"/>
        </w:rPr>
        <w:t>2. Módulo de Arqueo de Caja, Compra de Metales Preciosos e Inventario en Bóveda: Estructurado mediante una arquitectura cliente-servidor desacoplada con servicios backend en Python (Django REST Framework) y una interfaz gráfica interactiva tipo SPA (Single Page Application) desarrollada en Vite y React. Este módulo gestiona la compra directa de oro y plata por kilataje y ley, determinando automáticamente los gramos puros equivalentes y el valor de liquidación, a la vez que centraliza el arqueo diario de caja multimoneda (dólares en efectivo y bolívares digitales) y el registro de egresos operativos.</w:t>
      </w:r>
    </w:p>
    <w:p>
      <w:pPr>
        <w:jc w:val="both"/>
        <w:spacing w:line="360" w:lineRule="auto" w:after="120" w:before="0"/>
        <w:ind w:firstLine="720" w:left="0"/>
      </w:pPr>
      <w:r/>
      <w:r>
        <w:rPr>
          <w:rFonts w:ascii="Times New Roman" w:hAnsi="Times New Roman"/>
          <w:b w:val="0"/>
          <w:i w:val="0"/>
          <w:sz w:val="24"/>
        </w:rPr>
        <w:t>La unificación de estos módulos proporciona un ecosistema informático robusto que sustituye de manera definitiva el manejo disperso en libros de cálculo de Microsoft Excel, garantizando la centralización de datos, la trazabilidad de los metales en bóveda y la inmediatez en la toma de decisiones gerenciales.</w:t>
      </w:r>
    </w:p>
    <w:p>
      <w:pPr>
        <w:jc w:val="left"/>
        <w:spacing w:line="360" w:lineRule="auto" w:after="120" w:before="280"/>
        <w:ind w:firstLine="0" w:left="0"/>
      </w:pPr>
      <w:r/>
      <w:r>
        <w:rPr>
          <w:rFonts w:ascii="Times New Roman" w:hAnsi="Times New Roman"/>
          <w:b/>
          <w:i w:val="0"/>
          <w:sz w:val="24"/>
        </w:rPr>
        <w:t>Justificación de la Propuesta</w:t>
      </w:r>
    </w:p>
    <w:p>
      <w:pPr>
        <w:jc w:val="both"/>
        <w:spacing w:line="360" w:lineRule="auto" w:after="120" w:before="0"/>
        <w:ind w:firstLine="720" w:left="0"/>
      </w:pPr>
      <w:r/>
      <w:r>
        <w:rPr>
          <w:rFonts w:ascii="Times New Roman" w:hAnsi="Times New Roman"/>
          <w:b w:val="0"/>
          <w:i w:val="0"/>
          <w:sz w:val="24"/>
        </w:rPr>
        <w:t>La implementación de la plataforma tecnológica en Inversiones Más Por Tu Oro 17 C.A. encuentra su justificación en múltiples dimensiones:</w:t>
      </w:r>
    </w:p>
    <w:p>
      <w:pPr>
        <w:jc w:val="both"/>
        <w:spacing w:line="360" w:lineRule="auto" w:after="120" w:before="0"/>
        <w:ind w:firstLine="720" w:left="0"/>
      </w:pPr>
      <w:r/>
      <w:r>
        <w:rPr>
          <w:rFonts w:ascii="Times New Roman" w:hAnsi="Times New Roman"/>
          <w:b w:val="0"/>
          <w:i w:val="0"/>
          <w:sz w:val="24"/>
        </w:rPr>
        <w:t>Desde la perspectiva práctica y operacional, la propuesta erradica la dependencia de registros manuales y hojas de cálculo desarticuladas, las cuales generaban lentitud en la atención al público (con tiempos promedio de espera superiores a 15 minutos por cliente) y recurrentes discrepancias aritméticas en el cálculo de intereses moratorios y días de gracia. Con el nuevo sistema, el tiempo de emisión de contratos se reduce sustancialmente, emitiendo boletas formales impresas y comprobantes digitales en formato carta con validación QR.</w:t>
      </w:r>
    </w:p>
    <w:p>
      <w:pPr>
        <w:jc w:val="both"/>
        <w:spacing w:line="360" w:lineRule="auto" w:after="120" w:before="0"/>
        <w:ind w:firstLine="720" w:left="0"/>
      </w:pPr>
      <w:r/>
      <w:r>
        <w:rPr>
          <w:rFonts w:ascii="Times New Roman" w:hAnsi="Times New Roman"/>
          <w:b w:val="0"/>
          <w:i w:val="0"/>
          <w:sz w:val="24"/>
        </w:rPr>
        <w:t>En el orden técnico y de seguridad de la información, el almacenamiento centralizado en PostgreSQL previene la pérdida accidental de expedientes o la adulteración de fórmulas de cálculo, garantizando integridad referencial mediante claves foráneas y un registro estricto de auditoría (AuditLog) que documenta cada transacción con usuario, fecha, hora y dirección IP.</w:t>
      </w:r>
    </w:p>
    <w:p>
      <w:pPr>
        <w:jc w:val="both"/>
        <w:spacing w:line="360" w:lineRule="auto" w:after="120" w:before="0"/>
        <w:ind w:firstLine="720" w:left="0"/>
      </w:pPr>
      <w:r/>
      <w:r>
        <w:rPr>
          <w:rFonts w:ascii="Times New Roman" w:hAnsi="Times New Roman"/>
          <w:b w:val="0"/>
          <w:i w:val="0"/>
          <w:sz w:val="24"/>
        </w:rPr>
        <w:t>Desde el punto de vista gerencial y financiero, el software ofrece visibilidad en tiempo real sobre la cartera activa de préstamos, las boletas próximas a vencer, el stock de oro y plata en custodia, y el balance consolidado de caja. Esto permite al Gerente General y al Administrador auditar en segundos el rendimiento patrimonial y coordinar la liquidación oportuna de garantías adjudicadas.</w:t>
      </w:r>
    </w:p>
    <w:p>
      <w:pPr>
        <w:jc w:val="left"/>
        <w:spacing w:line="360" w:lineRule="auto" w:after="120" w:before="280"/>
        <w:ind w:firstLine="0" w:left="0"/>
      </w:pPr>
      <w:r/>
      <w:r>
        <w:rPr>
          <w:rFonts w:ascii="Times New Roman" w:hAnsi="Times New Roman"/>
          <w:b/>
          <w:i w:val="0"/>
          <w:sz w:val="24"/>
        </w:rPr>
        <w:t>Objetivos de la Propuesta</w:t>
      </w:r>
    </w:p>
    <w:p>
      <w:pPr>
        <w:jc w:val="left"/>
        <w:spacing w:line="360" w:lineRule="auto" w:after="80" w:before="200"/>
        <w:ind w:firstLine="0" w:left="0"/>
      </w:pPr>
      <w:r/>
      <w:r>
        <w:rPr>
          <w:rFonts w:ascii="Times New Roman" w:hAnsi="Times New Roman"/>
          <w:b/>
          <w:i/>
          <w:sz w:val="24"/>
        </w:rPr>
        <w:t>Objetivo General</w:t>
      </w:r>
    </w:p>
    <w:p>
      <w:pPr>
        <w:jc w:val="both"/>
        <w:spacing w:line="360" w:lineRule="auto" w:after="120" w:before="0"/>
        <w:ind w:firstLine="720" w:left="0"/>
      </w:pPr>
      <w:r/>
      <w:r>
        <w:rPr>
          <w:rFonts w:ascii="Times New Roman" w:hAnsi="Times New Roman"/>
          <w:b w:val="0"/>
          <w:i w:val="0"/>
          <w:sz w:val="24"/>
        </w:rPr>
        <w:t>Implementar un Sistema de Información Web Integrado para la Gestión de Inventario, Control de Préstamos Prendarios y Arqueo de Caja en la empresa Inversiones Más Por Tu Oro 17 C.A., con el propósito de optimizar los tiempos de atención, garantizar la seguridad de los registros financieros y centralizar el control de activos en custodia.</w:t>
      </w:r>
    </w:p>
    <w:p>
      <w:pPr>
        <w:jc w:val="left"/>
        <w:spacing w:line="360" w:lineRule="auto" w:after="80" w:before="200"/>
        <w:ind w:firstLine="0" w:left="0"/>
      </w:pPr>
      <w:r/>
      <w:r>
        <w:rPr>
          <w:rFonts w:ascii="Times New Roman" w:hAnsi="Times New Roman"/>
          <w:b/>
          <w:i/>
          <w:sz w:val="24"/>
        </w:rPr>
        <w:t>Objetivos Específicos</w:t>
      </w:r>
    </w:p>
    <w:p>
      <w:pPr>
        <w:jc w:val="both"/>
        <w:spacing w:line="360" w:lineRule="auto" w:after="120" w:before="0"/>
        <w:ind w:firstLine="720" w:left="0"/>
      </w:pPr>
      <w:r/>
      <w:r>
        <w:rPr>
          <w:rFonts w:ascii="Times New Roman" w:hAnsi="Times New Roman"/>
          <w:b w:val="0"/>
          <w:i w:val="0"/>
          <w:sz w:val="24"/>
        </w:rPr>
        <w:t>1. Automatizar la emisión y gestión de contratos prendarios (boletas de empeño) mediante la tasación de prendas, cálculo estandarizado de intereses, comisiones de custodia y registro de prórrogas o rescates.</w:t>
      </w:r>
    </w:p>
    <w:p>
      <w:pPr>
        <w:jc w:val="both"/>
        <w:spacing w:line="360" w:lineRule="auto" w:after="120" w:before="0"/>
        <w:ind w:firstLine="720" w:left="0"/>
      </w:pPr>
      <w:r/>
      <w:r>
        <w:rPr>
          <w:rFonts w:ascii="Times New Roman" w:hAnsi="Times New Roman"/>
          <w:b w:val="0"/>
          <w:i w:val="0"/>
          <w:sz w:val="24"/>
        </w:rPr>
        <w:t>2. Sistematizar el proceso de compra de metales preciosos (oro y plata), calculando en tiempo real la pureza en gramos puros según el kilataje (10k, 14k, 18k, 24k) y actualizando el inventario físico en bóveda.</w:t>
      </w:r>
    </w:p>
    <w:p>
      <w:pPr>
        <w:jc w:val="both"/>
        <w:spacing w:line="360" w:lineRule="auto" w:after="120" w:before="0"/>
        <w:ind w:firstLine="720" w:left="0"/>
      </w:pPr>
      <w:r/>
      <w:r>
        <w:rPr>
          <w:rFonts w:ascii="Times New Roman" w:hAnsi="Times New Roman"/>
          <w:b w:val="0"/>
          <w:i w:val="0"/>
          <w:sz w:val="24"/>
        </w:rPr>
        <w:t>3. Centralizar el control de sesiones de caja diaria multimoneda, registrando ingresos por empeños, egresos por compras y conciliando balances en divisas (USD) y bolívares (VES).</w:t>
      </w:r>
    </w:p>
    <w:p>
      <w:pPr>
        <w:jc w:val="both"/>
        <w:spacing w:line="360" w:lineRule="auto" w:after="120" w:before="0"/>
        <w:ind w:firstLine="720" w:left="0"/>
      </w:pPr>
      <w:r/>
      <w:r>
        <w:rPr>
          <w:rFonts w:ascii="Times New Roman" w:hAnsi="Times New Roman"/>
          <w:b w:val="0"/>
          <w:i w:val="0"/>
          <w:sz w:val="24"/>
        </w:rPr>
        <w:t>4. Proporcionar mecanismos de trazabilidad, auditoría interna y reportes administrativos en formatos estándar (PDF y Excel) que fortalezcan la toma de decisiones estratégicas.</w:t>
      </w:r>
    </w:p>
    <w:p>
      <w:pPr>
        <w:jc w:val="left"/>
        <w:spacing w:line="360" w:lineRule="auto" w:after="120" w:before="280"/>
        <w:ind w:firstLine="0" w:left="0"/>
      </w:pPr>
      <w:r/>
      <w:r>
        <w:rPr>
          <w:rFonts w:ascii="Times New Roman" w:hAnsi="Times New Roman"/>
          <w:b/>
          <w:i w:val="0"/>
          <w:sz w:val="24"/>
        </w:rPr>
        <w:t>Fundamentación de la Propuesta</w:t>
      </w:r>
    </w:p>
    <w:p>
      <w:pPr>
        <w:jc w:val="left"/>
        <w:spacing w:line="360" w:lineRule="auto" w:after="80" w:before="200"/>
        <w:ind w:firstLine="0" w:left="0"/>
      </w:pPr>
      <w:r/>
      <w:r>
        <w:rPr>
          <w:rFonts w:ascii="Times New Roman" w:hAnsi="Times New Roman"/>
          <w:b/>
          <w:i/>
          <w:sz w:val="24"/>
        </w:rPr>
        <w:t>Fundamentación Teórica</w:t>
      </w:r>
    </w:p>
    <w:p>
      <w:pPr>
        <w:jc w:val="both"/>
        <w:spacing w:line="360" w:lineRule="auto" w:after="120" w:before="0"/>
        <w:ind w:firstLine="720" w:left="0"/>
      </w:pPr>
      <w:r/>
      <w:r>
        <w:rPr>
          <w:rFonts w:ascii="Times New Roman" w:hAnsi="Times New Roman"/>
          <w:b w:val="0"/>
          <w:i w:val="0"/>
          <w:sz w:val="24"/>
        </w:rPr>
        <w:t>La propuesta se fundamenta en la Teoría General de Sistemas aplicada a los Sistemas de Información Gerencial (MIS). De acuerdo con Laudon y Laudon (2012), un sistema de información eficiente combina componentes interrelacionados que recolectan, procesan, almacenan y distribuyen información para apoyar la toma de decisiones y el control en una organización. En este desarrollo, el flujo de datos une el ingreso físico del metal con la contabilización financiera del préstamo o compra.</w:t>
      </w:r>
    </w:p>
    <w:p>
      <w:pPr>
        <w:jc w:val="both"/>
        <w:spacing w:line="360" w:lineRule="auto" w:after="120" w:before="0"/>
        <w:ind w:firstLine="720" w:left="0"/>
      </w:pPr>
      <w:r/>
      <w:r>
        <w:rPr>
          <w:rFonts w:ascii="Times New Roman" w:hAnsi="Times New Roman"/>
          <w:b w:val="0"/>
          <w:i w:val="0"/>
          <w:sz w:val="24"/>
        </w:rPr>
        <w:t>Asimismo, se adopta el enfoque de Ingeniería del Software propuesto por Pressman (2010), aplicando el modelo de construcción de prototipos evolutivos. Esta metodología facilitó la validación continua de las interfaces de usuario directamente con los operadores de la empresa (Gerente, Administrador y Cajero), asegurando una curva de aprendizaje mínima y alta ergonomía de uso.</w:t>
      </w:r>
    </w:p>
    <w:p>
      <w:pPr>
        <w:jc w:val="both"/>
        <w:spacing w:line="360" w:lineRule="auto" w:after="120" w:before="0"/>
        <w:ind w:firstLine="720" w:left="0"/>
      </w:pPr>
      <w:r/>
      <w:r>
        <w:rPr>
          <w:rFonts w:ascii="Times New Roman" w:hAnsi="Times New Roman"/>
          <w:b w:val="0"/>
          <w:i w:val="0"/>
          <w:sz w:val="24"/>
        </w:rPr>
        <w:t>En el área de persistencia de datos, se aplican los principios de Normalización y Bases de Datos Relacionales postulados por Date (2004), organizando las tablas hasta la Tercera Forma Normal (3FN). Esto evita anomalías de inserción, actualización o borrado, garantizando que cada transacción financiera esté vinculada unívocamente a un cliente, una boleta y un operador.</w:t>
      </w:r>
    </w:p>
    <w:p>
      <w:pPr>
        <w:jc w:val="left"/>
        <w:spacing w:line="360" w:lineRule="auto" w:after="80" w:before="200"/>
        <w:ind w:firstLine="0" w:left="0"/>
      </w:pPr>
      <w:r/>
      <w:r>
        <w:rPr>
          <w:rFonts w:ascii="Times New Roman" w:hAnsi="Times New Roman"/>
          <w:b/>
          <w:i/>
          <w:sz w:val="24"/>
        </w:rPr>
        <w:t>Fundamentación Técnica</w:t>
      </w:r>
    </w:p>
    <w:p>
      <w:pPr>
        <w:jc w:val="both"/>
        <w:spacing w:line="360" w:lineRule="auto" w:after="120" w:before="0"/>
        <w:ind w:firstLine="720" w:left="0"/>
      </w:pPr>
      <w:r/>
      <w:r>
        <w:rPr>
          <w:rFonts w:ascii="Times New Roman" w:hAnsi="Times New Roman"/>
          <w:b w:val="0"/>
          <w:i w:val="0"/>
          <w:sz w:val="24"/>
        </w:rPr>
        <w:t>Desde la perspectiva tecnológica, la arquitectura seleccionada implementa estándares modernos de la industria de software web:</w:t>
      </w:r>
    </w:p>
    <w:p>
      <w:pPr>
        <w:jc w:val="both"/>
        <w:spacing w:line="360" w:lineRule="auto" w:after="120" w:before="0"/>
        <w:ind w:firstLine="720" w:left="0"/>
      </w:pPr>
      <w:r/>
      <w:r>
        <w:rPr>
          <w:rFonts w:ascii="Times New Roman" w:hAnsi="Times New Roman"/>
          <w:b w:val="0"/>
          <w:i w:val="0"/>
          <w:sz w:val="24"/>
        </w:rPr>
        <w:t>a) Frontend Reactivo y Modular: La interfaz del módulo de préstamos está construida con Next.js (React y TypeScript con Tailwind CSS), mientras que el módulo de caja e inventario utiliza Vite con React. Ambos proporcionan renderizado ágil, componentes accesibles y diseño responsivo adaptado para computadores de escritorio y dispositivos móviles.</w:t>
      </w:r>
    </w:p>
    <w:p>
      <w:pPr>
        <w:jc w:val="both"/>
        <w:spacing w:line="360" w:lineRule="auto" w:after="120" w:before="0"/>
        <w:ind w:firstLine="720" w:left="0"/>
      </w:pPr>
      <w:r/>
      <w:r>
        <w:rPr>
          <w:rFonts w:ascii="Times New Roman" w:hAnsi="Times New Roman"/>
          <w:b w:val="0"/>
          <w:i w:val="0"/>
          <w:sz w:val="24"/>
        </w:rPr>
        <w:t>b) Capa de Servicios Backend y APIs RESTful: Se integran Server Actions y microservicios construidos con Django REST Framework (Python). Esta capa centraliza las reglas financieras (algoritmos de cálculo de interés diario/mensual, prorrateo, tasas de custodia, conversión de kilatajes a gramos puros) y la validación de datos.</w:t>
      </w:r>
    </w:p>
    <w:p>
      <w:pPr>
        <w:jc w:val="both"/>
        <w:spacing w:line="360" w:lineRule="auto" w:after="120" w:before="0"/>
        <w:ind w:firstLine="720" w:left="0"/>
      </w:pPr>
      <w:r/>
      <w:r>
        <w:rPr>
          <w:rFonts w:ascii="Times New Roman" w:hAnsi="Times New Roman"/>
          <w:b w:val="0"/>
          <w:i w:val="0"/>
          <w:sz w:val="24"/>
        </w:rPr>
        <w:t>c) Persistencia y Generación de Documentos: Se utiliza el motor relacional PostgreSQL alojado en la nube, garantizando aislamiento transaccional (ACID). Para la emisión de contratos de empeño, actas de rescate y recibos de pago, se implementa la biblioteca @react-pdf/renderer configurada en formato Carta (Letter), asegurando fidelidad tipográfica, membrete institucional y código QR para verificación digital.</w:t>
      </w:r>
    </w:p>
    <w:p>
      <w:pPr>
        <w:jc w:val="left"/>
        <w:spacing w:line="360" w:lineRule="auto" w:after="80" w:before="200"/>
        <w:ind w:firstLine="0" w:left="0"/>
      </w:pPr>
      <w:r/>
      <w:r>
        <w:rPr>
          <w:rFonts w:ascii="Times New Roman" w:hAnsi="Times New Roman"/>
          <w:b/>
          <w:i/>
          <w:sz w:val="24"/>
        </w:rPr>
        <w:t>Fundamentación Legal</w:t>
      </w:r>
    </w:p>
    <w:p>
      <w:pPr>
        <w:jc w:val="both"/>
        <w:spacing w:line="360" w:lineRule="auto" w:after="120" w:before="0"/>
        <w:ind w:firstLine="720" w:left="0"/>
      </w:pPr>
      <w:r/>
      <w:r>
        <w:rPr>
          <w:rFonts w:ascii="Times New Roman" w:hAnsi="Times New Roman"/>
          <w:b w:val="0"/>
          <w:i w:val="0"/>
          <w:sz w:val="24"/>
        </w:rPr>
        <w:t>El diseño de la plataforma se apega estrictamente al ordenamiento jurídico venezolano vigente:</w:t>
      </w:r>
    </w:p>
    <w:p>
      <w:pPr>
        <w:jc w:val="both"/>
        <w:spacing w:line="360" w:lineRule="auto" w:after="120" w:before="0"/>
        <w:ind w:firstLine="720" w:left="0"/>
      </w:pPr>
      <w:r/>
      <w:r>
        <w:rPr>
          <w:rFonts w:ascii="Times New Roman" w:hAnsi="Times New Roman"/>
          <w:b w:val="0"/>
          <w:i w:val="0"/>
          <w:sz w:val="24"/>
        </w:rPr>
        <w:t>1. Constitución de la República Bolivariana de Venezuela (1999): En su Artículo 110, consagra el interés público de la ciencia, la tecnología y los sistemas de información como instrumentos fundamentales para el desarrollo económico de la Nación.</w:t>
      </w:r>
    </w:p>
    <w:p>
      <w:pPr>
        <w:jc w:val="both"/>
        <w:spacing w:line="360" w:lineRule="auto" w:after="120" w:before="0"/>
        <w:ind w:firstLine="720" w:left="0"/>
      </w:pPr>
      <w:r/>
      <w:r>
        <w:rPr>
          <w:rFonts w:ascii="Times New Roman" w:hAnsi="Times New Roman"/>
          <w:b w:val="0"/>
          <w:i w:val="0"/>
          <w:sz w:val="24"/>
        </w:rPr>
        <w:t>2. Código de Comercio de Venezuela (1955): Artículos 32 y 35, los cuales establecen la obligatoriedad de que los comerciantes lleven sus libros contables de forma organizada, fidedigna y cronológica. El sistema digitaliza estos registros preservando comprobantes inalterables de cada transacción.</w:t>
      </w:r>
    </w:p>
    <w:p>
      <w:pPr>
        <w:jc w:val="both"/>
        <w:spacing w:line="360" w:lineRule="auto" w:after="120" w:before="0"/>
        <w:ind w:firstLine="720" w:left="0"/>
      </w:pPr>
      <w:r/>
      <w:r>
        <w:rPr>
          <w:rFonts w:ascii="Times New Roman" w:hAnsi="Times New Roman"/>
          <w:b w:val="0"/>
          <w:i w:val="0"/>
          <w:sz w:val="24"/>
        </w:rPr>
        <w:t>3. Ley Especial Contra los Delitos Informáticos (2001): Artículos 6 (acceso indebido) y 7 (sabotaje o daño a sistemas). La arquitectura técnica implementa controles de autenticación mediante credenciales cifradas (bcrypt), perfiles con permisos mínimos y tablas de auditoría que impiden la impunidad ante accesos indebidos.</w:t>
      </w:r>
    </w:p>
    <w:p>
      <w:pPr>
        <w:jc w:val="left"/>
        <w:spacing w:line="360" w:lineRule="auto" w:after="120" w:before="280"/>
        <w:ind w:firstLine="0" w:left="0"/>
      </w:pPr>
      <w:r/>
      <w:r>
        <w:rPr>
          <w:rFonts w:ascii="Times New Roman" w:hAnsi="Times New Roman"/>
          <w:b/>
          <w:i w:val="0"/>
          <w:sz w:val="24"/>
        </w:rPr>
        <w:t>Estudio de Factibilidad</w:t>
      </w:r>
    </w:p>
    <w:p>
      <w:pPr>
        <w:jc w:val="both"/>
        <w:spacing w:line="360" w:lineRule="auto" w:after="120" w:before="0"/>
        <w:ind w:firstLine="720" w:left="0"/>
      </w:pPr>
      <w:r/>
      <w:r>
        <w:rPr>
          <w:rFonts w:ascii="Times New Roman" w:hAnsi="Times New Roman"/>
          <w:b w:val="0"/>
          <w:i w:val="0"/>
          <w:sz w:val="24"/>
        </w:rPr>
        <w:t>Para asegurar que la propuesta constituye un modelo operativo viable y aplicable, se desarrolló el estudio de factibilidad evaluando tres dimensiones: mercado, técnico-operativa y económica-financiera.</w:t>
      </w:r>
    </w:p>
    <w:p>
      <w:pPr>
        <w:jc w:val="left"/>
        <w:spacing w:line="360" w:lineRule="auto" w:after="80" w:before="200"/>
        <w:ind w:firstLine="0" w:left="0"/>
      </w:pPr>
      <w:r/>
      <w:r>
        <w:rPr>
          <w:rFonts w:ascii="Times New Roman" w:hAnsi="Times New Roman"/>
          <w:b/>
          <w:i/>
          <w:sz w:val="24"/>
        </w:rPr>
        <w:t>Factibilidad de Mercado y Beneficiarios</w:t>
      </w:r>
    </w:p>
    <w:p>
      <w:pPr>
        <w:jc w:val="both"/>
        <w:spacing w:line="360" w:lineRule="auto" w:after="120" w:before="0"/>
        <w:ind w:firstLine="720" w:left="0"/>
      </w:pPr>
      <w:r/>
      <w:r>
        <w:rPr>
          <w:rFonts w:ascii="Times New Roman" w:hAnsi="Times New Roman"/>
          <w:b w:val="0"/>
          <w:i w:val="0"/>
          <w:sz w:val="24"/>
        </w:rPr>
        <w:t>La factibilidad de mercado evalúa la pertinencia del sistema respecto a la demanda y los usuarios que interactúan con él:</w:t>
      </w:r>
    </w:p>
    <w:p>
      <w:pPr>
        <w:jc w:val="both"/>
        <w:spacing w:line="360" w:lineRule="auto" w:after="120" w:before="0"/>
        <w:ind w:firstLine="720" w:left="0"/>
      </w:pPr>
      <w:r/>
      <w:r>
        <w:rPr>
          <w:rFonts w:ascii="Times New Roman" w:hAnsi="Times New Roman"/>
          <w:b w:val="0"/>
          <w:i w:val="0"/>
          <w:sz w:val="24"/>
        </w:rPr>
        <w:t>Beneficiarios Directos: Los tres (3) colaboradores de Inversiones Más Por Tu Oro 17 C.A. (Gerente General, Administrador y Cajero), quienes obtienen herramientas ágiles para procesar contratos, consultar cotizaciones de metales y cuadrar cajas sin sobretiempos laborales. Asimismo, los clientes particulares que solicitan préstamos prendarios o venden metales se benefician directamente de una atención expedita y boletas transparentes.</w:t>
      </w:r>
    </w:p>
    <w:p>
      <w:pPr>
        <w:jc w:val="both"/>
        <w:spacing w:line="360" w:lineRule="auto" w:after="120" w:before="0"/>
        <w:ind w:firstLine="720" w:left="0"/>
      </w:pPr>
      <w:r/>
      <w:r>
        <w:rPr>
          <w:rFonts w:ascii="Times New Roman" w:hAnsi="Times New Roman"/>
          <w:b w:val="0"/>
          <w:i w:val="0"/>
          <w:sz w:val="24"/>
        </w:rPr>
        <w:t>Beneficiarios Indirectos: La alta gerencia y los socios de la entidad mercantil, al resguardar el patrimonio institucional, evitar multas fiscales y proyectar una imagen corporativa formal y tecnológica frente a la competencia.</w:t>
      </w:r>
    </w:p>
    <w:p>
      <w:pPr>
        <w:jc w:val="both"/>
        <w:spacing w:line="360" w:lineRule="auto" w:after="120" w:before="0"/>
        <w:ind w:firstLine="720" w:left="0"/>
      </w:pPr>
      <w:r/>
      <w:r>
        <w:rPr>
          <w:rFonts w:ascii="Times New Roman" w:hAnsi="Times New Roman"/>
          <w:b w:val="0"/>
          <w:i w:val="0"/>
          <w:sz w:val="24"/>
        </w:rPr>
        <w:t>Comportamiento de la Demanda: El sector de servicios prendarios en Caracas experimenta una demanda continua y sensible a la inmediatez. Los clientes valoran la rapidez en la tasación física del oro y la claridad en las fechas de vencimiento de sus garantías. El sistema automatizado responde cabalmente a esta exigencia de mercado.</w:t>
      </w:r>
    </w:p>
    <w:p>
      <w:pPr>
        <w:jc w:val="left"/>
        <w:spacing w:line="360" w:lineRule="auto" w:after="80" w:before="200"/>
        <w:ind w:firstLine="0" w:left="0"/>
      </w:pPr>
      <w:r/>
      <w:r>
        <w:rPr>
          <w:rFonts w:ascii="Times New Roman" w:hAnsi="Times New Roman"/>
          <w:b/>
          <w:i/>
          <w:sz w:val="24"/>
        </w:rPr>
        <w:t>Factibilidad Técnico-Operativa</w:t>
      </w:r>
    </w:p>
    <w:p>
      <w:pPr>
        <w:jc w:val="both"/>
        <w:spacing w:line="360" w:lineRule="auto" w:after="120" w:before="0"/>
        <w:ind w:firstLine="720" w:left="0"/>
      </w:pPr>
      <w:r/>
      <w:r>
        <w:rPr>
          <w:rFonts w:ascii="Times New Roman" w:hAnsi="Times New Roman"/>
          <w:b w:val="0"/>
          <w:i w:val="0"/>
          <w:sz w:val="24"/>
        </w:rPr>
        <w:t>Esta dimensión verifica la capacidad de la empresa para asimilar y operar la infraestructura de software propuesta. La evaluación del talento humano, los recursos materiales y tecnológicos se resume en los cuadros que siguen:</w:t>
      </w:r>
    </w:p>
    <w:p>
      <w:pPr>
        <w:jc w:val="left"/>
        <w:spacing w:line="360" w:lineRule="auto" w:after="80" w:before="200"/>
        <w:ind w:firstLine="0" w:left="0"/>
      </w:pPr>
      <w:r/>
      <w:r>
        <w:rPr>
          <w:rFonts w:ascii="Times New Roman" w:hAnsi="Times New Roman"/>
          <w:b w:val="0"/>
          <w:i w:val="0"/>
          <w:sz w:val="24"/>
        </w:rPr>
        <w:t>Cuadro 9</w:t>
        <w:br/>
        <w:t>Disponibilidad de Talento Humano</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1654"/>
        <w:gridCol w:w="1654"/>
        <w:gridCol w:w="1654"/>
        <w:gridCol w:w="1654"/>
        <w:gridCol w:w="1654"/>
      </w:tblGrid>
      <w:tr>
        <w:tc>
          <w:tcPr>
            <w:tcW w:type="dxa" w:w="1654"/>
          </w:tcPr>
          <w:p>
            <w:pPr>
              <w:jc w:val="center"/>
              <w:spacing w:line="240" w:after="40"/>
            </w:pPr>
            <w:r/>
            <w:r>
              <w:rPr>
                <w:rFonts w:ascii="Times New Roman" w:hAnsi="Times New Roman"/>
                <w:b/>
                <w:sz w:val="22"/>
              </w:rPr>
              <w:t>N°</w:t>
            </w:r>
          </w:p>
        </w:tc>
        <w:tc>
          <w:tcPr>
            <w:tcW w:type="dxa" w:w="1654"/>
          </w:tcPr>
          <w:p>
            <w:pPr>
              <w:jc w:val="center"/>
              <w:spacing w:line="240" w:after="40"/>
            </w:pPr>
            <w:r/>
            <w:r>
              <w:rPr>
                <w:rFonts w:ascii="Times New Roman" w:hAnsi="Times New Roman"/>
                <w:b/>
                <w:sz w:val="22"/>
              </w:rPr>
              <w:t>Cargo</w:t>
            </w:r>
          </w:p>
        </w:tc>
        <w:tc>
          <w:tcPr>
            <w:tcW w:type="dxa" w:w="1654"/>
          </w:tcPr>
          <w:p>
            <w:pPr>
              <w:jc w:val="center"/>
              <w:spacing w:line="240" w:after="40"/>
            </w:pPr>
            <w:r/>
            <w:r>
              <w:rPr>
                <w:rFonts w:ascii="Times New Roman" w:hAnsi="Times New Roman"/>
                <w:b/>
                <w:sz w:val="22"/>
              </w:rPr>
              <w:t>Cantidad</w:t>
            </w:r>
          </w:p>
        </w:tc>
        <w:tc>
          <w:tcPr>
            <w:tcW w:type="dxa" w:w="1654"/>
          </w:tcPr>
          <w:p>
            <w:pPr>
              <w:jc w:val="center"/>
              <w:spacing w:line="240" w:after="40"/>
            </w:pPr>
            <w:r/>
            <w:r>
              <w:rPr>
                <w:rFonts w:ascii="Times New Roman" w:hAnsi="Times New Roman"/>
                <w:b/>
                <w:sz w:val="22"/>
              </w:rPr>
              <w:t>Nivel Educativo</w:t>
            </w:r>
          </w:p>
        </w:tc>
        <w:tc>
          <w:tcPr>
            <w:tcW w:type="dxa" w:w="1654"/>
          </w:tcPr>
          <w:p>
            <w:pPr>
              <w:jc w:val="center"/>
              <w:spacing w:line="240" w:after="40"/>
            </w:pPr>
            <w:r/>
            <w:r>
              <w:rPr>
                <w:rFonts w:ascii="Times New Roman" w:hAnsi="Times New Roman"/>
                <w:b/>
                <w:sz w:val="22"/>
              </w:rPr>
              <w:t>Rol y Funciones en el Sistema</w:t>
            </w:r>
          </w:p>
        </w:tc>
      </w:tr>
      <w:tr>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Gerente General</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Universitario</w:t>
            </w:r>
          </w:p>
        </w:tc>
        <w:tc>
          <w:tcPr>
            <w:tcW w:type="dxa" w:w="1654"/>
          </w:tcPr>
          <w:p>
            <w:pPr>
              <w:jc w:val="left"/>
              <w:spacing w:line="240" w:after="30"/>
            </w:pPr>
            <w:r/>
            <w:r>
              <w:rPr>
                <w:rFonts w:ascii="Times New Roman" w:hAnsi="Times New Roman"/>
                <w:sz w:val="20"/>
              </w:rPr>
              <w:t>Supervisión global, auditoría de transacciones, configuración de tasas de interés y márgenes de compra.</w:t>
            </w:r>
          </w:p>
        </w:tc>
      </w:tr>
      <w:tr>
        <w:tc>
          <w:tcPr>
            <w:tcW w:type="dxa" w:w="1654"/>
          </w:tcPr>
          <w:p>
            <w:pPr>
              <w:jc w:val="center"/>
              <w:spacing w:line="240" w:after="30"/>
            </w:pPr>
            <w:r/>
            <w:r>
              <w:rPr>
                <w:rFonts w:ascii="Times New Roman" w:hAnsi="Times New Roman"/>
                <w:sz w:val="20"/>
              </w:rPr>
              <w:t>2</w:t>
            </w:r>
          </w:p>
        </w:tc>
        <w:tc>
          <w:tcPr>
            <w:tcW w:type="dxa" w:w="1654"/>
          </w:tcPr>
          <w:p>
            <w:pPr>
              <w:jc w:val="left"/>
              <w:spacing w:line="240" w:after="30"/>
            </w:pPr>
            <w:r/>
            <w:r>
              <w:rPr>
                <w:rFonts w:ascii="Times New Roman" w:hAnsi="Times New Roman"/>
                <w:sz w:val="20"/>
              </w:rPr>
              <w:t>Administrador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T.S.U. / Licenciado</w:t>
            </w:r>
          </w:p>
        </w:tc>
        <w:tc>
          <w:tcPr>
            <w:tcW w:type="dxa" w:w="1654"/>
          </w:tcPr>
          <w:p>
            <w:pPr>
              <w:jc w:val="left"/>
              <w:spacing w:line="240" w:after="30"/>
            </w:pPr>
            <w:r/>
            <w:r>
              <w:rPr>
                <w:rFonts w:ascii="Times New Roman" w:hAnsi="Times New Roman"/>
                <w:sz w:val="20"/>
              </w:rPr>
              <w:t>Gestión de fuentes de capital, liquidación de boletas vencidas, reportes financieros y altas de clientes.</w:t>
            </w:r>
          </w:p>
        </w:tc>
      </w:tr>
      <w:tr>
        <w:tc>
          <w:tcPr>
            <w:tcW w:type="dxa" w:w="1654"/>
          </w:tcPr>
          <w:p>
            <w:pPr>
              <w:jc w:val="center"/>
              <w:spacing w:line="240" w:after="30"/>
            </w:pPr>
            <w:r/>
            <w:r>
              <w:rPr>
                <w:rFonts w:ascii="Times New Roman" w:hAnsi="Times New Roman"/>
                <w:sz w:val="20"/>
              </w:rPr>
              <w:t>3</w:t>
            </w:r>
          </w:p>
        </w:tc>
        <w:tc>
          <w:tcPr>
            <w:tcW w:type="dxa" w:w="1654"/>
          </w:tcPr>
          <w:p>
            <w:pPr>
              <w:jc w:val="left"/>
              <w:spacing w:line="240" w:after="30"/>
            </w:pPr>
            <w:r/>
            <w:r>
              <w:rPr>
                <w:rFonts w:ascii="Times New Roman" w:hAnsi="Times New Roman"/>
                <w:sz w:val="20"/>
              </w:rPr>
              <w:t>Cajero / Operador</w:t>
            </w:r>
          </w:p>
        </w:tc>
        <w:tc>
          <w:tcPr>
            <w:tcW w:type="dxa" w:w="1654"/>
          </w:tcPr>
          <w:p>
            <w:pPr>
              <w:jc w:val="center"/>
              <w:spacing w:line="240" w:after="30"/>
            </w:pPr>
            <w:r/>
            <w:r>
              <w:rPr>
                <w:rFonts w:ascii="Times New Roman" w:hAnsi="Times New Roman"/>
                <w:sz w:val="20"/>
              </w:rPr>
              <w:t>1</w:t>
            </w:r>
          </w:p>
        </w:tc>
        <w:tc>
          <w:tcPr>
            <w:tcW w:type="dxa" w:w="1654"/>
          </w:tcPr>
          <w:p>
            <w:pPr>
              <w:jc w:val="left"/>
              <w:spacing w:line="240" w:after="30"/>
            </w:pPr>
            <w:r/>
            <w:r>
              <w:rPr>
                <w:rFonts w:ascii="Times New Roman" w:hAnsi="Times New Roman"/>
                <w:sz w:val="20"/>
              </w:rPr>
              <w:t>Bachiller / T.S.U.</w:t>
            </w:r>
          </w:p>
        </w:tc>
        <w:tc>
          <w:tcPr>
            <w:tcW w:type="dxa" w:w="1654"/>
          </w:tcPr>
          <w:p>
            <w:pPr>
              <w:jc w:val="left"/>
              <w:spacing w:line="240" w:after="30"/>
            </w:pPr>
            <w:r/>
            <w:r>
              <w:rPr>
                <w:rFonts w:ascii="Times New Roman" w:hAnsi="Times New Roman"/>
                <w:sz w:val="20"/>
              </w:rPr>
              <w:t>Atención al cliente, tasación física, emisión de boletas, registro de pagos y arqueo diario de caja.</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Como se observa en el Cuadro 9, la organización cuenta con el personal idóneo para asumir los perfiles del sistema. El diseño de las interfaces, fundamentado en componentes intuitivos en español y validaciones de campo guiadas, garantiza una curva de aprendizaje inferior a 3 días laborables.</w:t>
      </w:r>
    </w:p>
    <w:p>
      <w:pPr>
        <w:jc w:val="left"/>
        <w:spacing w:line="360" w:lineRule="auto" w:after="80" w:before="200"/>
        <w:ind w:firstLine="0" w:left="0"/>
      </w:pPr>
      <w:r/>
      <w:r>
        <w:rPr>
          <w:rFonts w:ascii="Times New Roman" w:hAnsi="Times New Roman"/>
          <w:b w:val="0"/>
          <w:i w:val="0"/>
          <w:sz w:val="24"/>
        </w:rPr>
        <w:t>Cuadro 10</w:t>
        <w:br/>
        <w:t>Recursos Materiales Requeridos</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Descripción del Recurso</w:t>
            </w:r>
          </w:p>
        </w:tc>
        <w:tc>
          <w:tcPr>
            <w:tcW w:type="dxa" w:w="2068"/>
          </w:tcPr>
          <w:p>
            <w:pPr>
              <w:jc w:val="center"/>
              <w:spacing w:line="240" w:after="40"/>
            </w:pPr>
            <w:r/>
            <w:r>
              <w:rPr>
                <w:rFonts w:ascii="Times New Roman" w:hAnsi="Times New Roman"/>
                <w:b/>
                <w:sz w:val="22"/>
              </w:rPr>
              <w:t>Cantidad</w:t>
            </w:r>
          </w:p>
        </w:tc>
        <w:tc>
          <w:tcPr>
            <w:tcW w:type="dxa" w:w="2068"/>
          </w:tcPr>
          <w:p>
            <w:pPr>
              <w:jc w:val="center"/>
              <w:spacing w:line="240" w:after="40"/>
            </w:pPr>
            <w:r/>
            <w:r>
              <w:rPr>
                <w:rFonts w:ascii="Times New Roman" w:hAnsi="Times New Roman"/>
                <w:b/>
                <w:sz w:val="22"/>
              </w:rPr>
              <w:t>Destino / Uso Operativo</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Resma de papel bond blanco tamaño carta</w:t>
            </w:r>
          </w:p>
        </w:tc>
        <w:tc>
          <w:tcPr>
            <w:tcW w:type="dxa" w:w="2068"/>
          </w:tcPr>
          <w:p>
            <w:pPr>
              <w:jc w:val="center"/>
              <w:spacing w:line="240" w:after="30"/>
            </w:pPr>
            <w:r/>
            <w:r>
              <w:rPr>
                <w:rFonts w:ascii="Times New Roman" w:hAnsi="Times New Roman"/>
                <w:sz w:val="20"/>
              </w:rPr>
              <w:t>3 resmas</w:t>
            </w:r>
          </w:p>
        </w:tc>
        <w:tc>
          <w:tcPr>
            <w:tcW w:type="dxa" w:w="2068"/>
          </w:tcPr>
          <w:p>
            <w:pPr>
              <w:jc w:val="left"/>
              <w:spacing w:line="240" w:after="30"/>
            </w:pPr>
            <w:r/>
            <w:r>
              <w:rPr>
                <w:rFonts w:ascii="Times New Roman" w:hAnsi="Times New Roman"/>
                <w:sz w:val="20"/>
              </w:rPr>
              <w:t>Impresión de contratos de empeño, actas de rescate, recibos y reportes.</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Cartucho de tóner / tinta para impresora</w:t>
            </w:r>
          </w:p>
        </w:tc>
        <w:tc>
          <w:tcPr>
            <w:tcW w:type="dxa" w:w="2068"/>
          </w:tcPr>
          <w:p>
            <w:pPr>
              <w:jc w:val="center"/>
              <w:spacing w:line="240" w:after="30"/>
            </w:pPr>
            <w:r/>
            <w:r>
              <w:rPr>
                <w:rFonts w:ascii="Times New Roman" w:hAnsi="Times New Roman"/>
                <w:sz w:val="20"/>
              </w:rPr>
              <w:t>1 unidad</w:t>
            </w:r>
          </w:p>
        </w:tc>
        <w:tc>
          <w:tcPr>
            <w:tcW w:type="dxa" w:w="2068"/>
          </w:tcPr>
          <w:p>
            <w:pPr>
              <w:jc w:val="left"/>
              <w:spacing w:line="240" w:after="30"/>
            </w:pPr>
            <w:r/>
            <w:r>
              <w:rPr>
                <w:rFonts w:ascii="Times New Roman" w:hAnsi="Times New Roman"/>
                <w:sz w:val="20"/>
              </w:rPr>
              <w:t>Impresión de documentos en formato carta.</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Bolsas de seguridad sellables numeradas</w:t>
            </w:r>
          </w:p>
        </w:tc>
        <w:tc>
          <w:tcPr>
            <w:tcW w:type="dxa" w:w="2068"/>
          </w:tcPr>
          <w:p>
            <w:pPr>
              <w:jc w:val="left"/>
              <w:spacing w:line="240" w:after="30"/>
            </w:pPr>
            <w:r/>
            <w:r>
              <w:rPr>
                <w:rFonts w:ascii="Times New Roman" w:hAnsi="Times New Roman"/>
                <w:sz w:val="20"/>
              </w:rPr>
              <w:t>200 unid.</w:t>
            </w:r>
          </w:p>
        </w:tc>
        <w:tc>
          <w:tcPr>
            <w:tcW w:type="dxa" w:w="2068"/>
          </w:tcPr>
          <w:p>
            <w:pPr>
              <w:jc w:val="left"/>
              <w:spacing w:line="240" w:after="30"/>
            </w:pPr>
            <w:r/>
            <w:r>
              <w:rPr>
                <w:rFonts w:ascii="Times New Roman" w:hAnsi="Times New Roman"/>
                <w:sz w:val="20"/>
              </w:rPr>
              <w:t>Custodia física y precinto de joyas y metales en bóveda.</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Etiquetas autoadhesivas de identificación</w:t>
            </w:r>
          </w:p>
        </w:tc>
        <w:tc>
          <w:tcPr>
            <w:tcW w:type="dxa" w:w="2068"/>
          </w:tcPr>
          <w:p>
            <w:pPr>
              <w:jc w:val="left"/>
              <w:spacing w:line="240" w:after="30"/>
            </w:pPr>
            <w:r/>
            <w:r>
              <w:rPr>
                <w:rFonts w:ascii="Times New Roman" w:hAnsi="Times New Roman"/>
                <w:sz w:val="20"/>
              </w:rPr>
              <w:t>500 unid.</w:t>
            </w:r>
          </w:p>
        </w:tc>
        <w:tc>
          <w:tcPr>
            <w:tcW w:type="dxa" w:w="2068"/>
          </w:tcPr>
          <w:p>
            <w:pPr>
              <w:jc w:val="left"/>
              <w:spacing w:line="240" w:after="30"/>
            </w:pPr>
            <w:r/>
            <w:r>
              <w:rPr>
                <w:rFonts w:ascii="Times New Roman" w:hAnsi="Times New Roman"/>
                <w:sz w:val="20"/>
              </w:rPr>
              <w:t>Identificación física de prendas asociadas al número de boleta.</w:t>
            </w:r>
          </w:p>
        </w:tc>
      </w:tr>
    </w:tbl>
    <w:p>
      <w:pPr>
        <w:jc w:val="left"/>
        <w:spacing w:line="360" w:lineRule="auto" w:after="200" w:before="40"/>
        <w:ind w:firstLine="0" w:left="0"/>
      </w:pPr>
      <w:r/>
      <w:r>
        <w:rPr>
          <w:rFonts w:ascii="Times New Roman" w:hAnsi="Times New Roman"/>
          <w:b w:val="0"/>
          <w:i w:val="0"/>
          <w:sz w:val="24"/>
        </w:rPr>
        <w:t>Fuente: Alvarado, L. (2026).</w:t>
      </w:r>
    </w:p>
    <w:p>
      <w:pPr>
        <w:jc w:val="left"/>
        <w:spacing w:line="360" w:lineRule="auto" w:after="80" w:before="200"/>
        <w:ind w:firstLine="0" w:left="0"/>
      </w:pPr>
      <w:r/>
      <w:r>
        <w:rPr>
          <w:rFonts w:ascii="Times New Roman" w:hAnsi="Times New Roman"/>
          <w:b w:val="0"/>
          <w:i w:val="0"/>
          <w:sz w:val="24"/>
        </w:rPr>
        <w:t>Cuadro 11</w:t>
        <w:br/>
        <w:t>Recursos Tecnológicos y de Conectividad</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N°</w:t>
            </w:r>
          </w:p>
        </w:tc>
        <w:tc>
          <w:tcPr>
            <w:tcW w:type="dxa" w:w="2068"/>
          </w:tcPr>
          <w:p>
            <w:pPr>
              <w:jc w:val="center"/>
              <w:spacing w:line="240" w:after="40"/>
            </w:pPr>
            <w:r/>
            <w:r>
              <w:rPr>
                <w:rFonts w:ascii="Times New Roman" w:hAnsi="Times New Roman"/>
                <w:b/>
                <w:sz w:val="22"/>
              </w:rPr>
              <w:t>Componente Tecnológico</w:t>
            </w:r>
          </w:p>
        </w:tc>
        <w:tc>
          <w:tcPr>
            <w:tcW w:type="dxa" w:w="2068"/>
          </w:tcPr>
          <w:p>
            <w:pPr>
              <w:jc w:val="center"/>
              <w:spacing w:line="240" w:after="40"/>
            </w:pPr>
            <w:r/>
            <w:r>
              <w:rPr>
                <w:rFonts w:ascii="Times New Roman" w:hAnsi="Times New Roman"/>
                <w:b/>
                <w:sz w:val="22"/>
              </w:rPr>
              <w:t>Especificación Mínima</w:t>
            </w:r>
          </w:p>
        </w:tc>
        <w:tc>
          <w:tcPr>
            <w:tcW w:type="dxa" w:w="2068"/>
          </w:tcPr>
          <w:p>
            <w:pPr>
              <w:jc w:val="center"/>
              <w:spacing w:line="240" w:after="40"/>
            </w:pPr>
            <w:r/>
            <w:r>
              <w:rPr>
                <w:rFonts w:ascii="Times New Roman" w:hAnsi="Times New Roman"/>
                <w:b/>
                <w:sz w:val="22"/>
              </w:rPr>
              <w:t>Estado / Disponibilidad</w:t>
            </w:r>
          </w:p>
        </w:tc>
      </w:tr>
      <w:tr>
        <w:tc>
          <w:tcPr>
            <w:tcW w:type="dxa" w:w="2068"/>
          </w:tcPr>
          <w:p>
            <w:pPr>
              <w:jc w:val="center"/>
              <w:spacing w:line="240" w:after="30"/>
            </w:pPr>
            <w:r/>
            <w:r>
              <w:rPr>
                <w:rFonts w:ascii="Times New Roman" w:hAnsi="Times New Roman"/>
                <w:sz w:val="20"/>
              </w:rPr>
              <w:t>1</w:t>
            </w:r>
          </w:p>
        </w:tc>
        <w:tc>
          <w:tcPr>
            <w:tcW w:type="dxa" w:w="2068"/>
          </w:tcPr>
          <w:p>
            <w:pPr>
              <w:jc w:val="left"/>
              <w:spacing w:line="240" w:after="30"/>
            </w:pPr>
            <w:r/>
            <w:r>
              <w:rPr>
                <w:rFonts w:ascii="Times New Roman" w:hAnsi="Times New Roman"/>
                <w:sz w:val="20"/>
              </w:rPr>
              <w:t>Estación de Trabajo Principal (Caja)</w:t>
            </w:r>
          </w:p>
        </w:tc>
        <w:tc>
          <w:tcPr>
            <w:tcW w:type="dxa" w:w="2068"/>
          </w:tcPr>
          <w:p>
            <w:pPr>
              <w:jc w:val="left"/>
              <w:spacing w:line="240" w:after="30"/>
            </w:pPr>
            <w:r/>
            <w:r>
              <w:rPr>
                <w:rFonts w:ascii="Times New Roman" w:hAnsi="Times New Roman"/>
                <w:sz w:val="20"/>
              </w:rPr>
              <w:t>PC Intel Core i3 / 8 GB RAM / SSD 240 GB</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2</w:t>
            </w:r>
          </w:p>
        </w:tc>
        <w:tc>
          <w:tcPr>
            <w:tcW w:type="dxa" w:w="2068"/>
          </w:tcPr>
          <w:p>
            <w:pPr>
              <w:jc w:val="left"/>
              <w:spacing w:line="240" w:after="30"/>
            </w:pPr>
            <w:r/>
            <w:r>
              <w:rPr>
                <w:rFonts w:ascii="Times New Roman" w:hAnsi="Times New Roman"/>
                <w:sz w:val="20"/>
              </w:rPr>
              <w:t>Balanza de Precisión Digital</w:t>
            </w:r>
          </w:p>
        </w:tc>
        <w:tc>
          <w:tcPr>
            <w:tcW w:type="dxa" w:w="2068"/>
          </w:tcPr>
          <w:p>
            <w:pPr>
              <w:jc w:val="left"/>
              <w:spacing w:line="240" w:after="30"/>
            </w:pPr>
            <w:r/>
            <w:r>
              <w:rPr>
                <w:rFonts w:ascii="Times New Roman" w:hAnsi="Times New Roman"/>
                <w:sz w:val="20"/>
              </w:rPr>
              <w:t>Capacidad 500 g / Precisión 0.01 g con calibración</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3</w:t>
            </w:r>
          </w:p>
        </w:tc>
        <w:tc>
          <w:tcPr>
            <w:tcW w:type="dxa" w:w="2068"/>
          </w:tcPr>
          <w:p>
            <w:pPr>
              <w:jc w:val="left"/>
              <w:spacing w:line="240" w:after="30"/>
            </w:pPr>
            <w:r/>
            <w:r>
              <w:rPr>
                <w:rFonts w:ascii="Times New Roman" w:hAnsi="Times New Roman"/>
                <w:sz w:val="20"/>
              </w:rPr>
              <w:t>Impresora Multifuncional / Láser Carta</w:t>
            </w:r>
          </w:p>
        </w:tc>
        <w:tc>
          <w:tcPr>
            <w:tcW w:type="dxa" w:w="2068"/>
          </w:tcPr>
          <w:p>
            <w:pPr>
              <w:jc w:val="left"/>
              <w:spacing w:line="240" w:after="30"/>
            </w:pPr>
            <w:r/>
            <w:r>
              <w:rPr>
                <w:rFonts w:ascii="Times New Roman" w:hAnsi="Times New Roman"/>
                <w:sz w:val="20"/>
              </w:rPr>
              <w:t>Impresora estándar USB / Red para hojas tamaño carta</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4</w:t>
            </w:r>
          </w:p>
        </w:tc>
        <w:tc>
          <w:tcPr>
            <w:tcW w:type="dxa" w:w="2068"/>
          </w:tcPr>
          <w:p>
            <w:pPr>
              <w:jc w:val="left"/>
              <w:spacing w:line="240" w:after="30"/>
            </w:pPr>
            <w:r/>
            <w:r>
              <w:rPr>
                <w:rFonts w:ascii="Times New Roman" w:hAnsi="Times New Roman"/>
                <w:sz w:val="20"/>
              </w:rPr>
              <w:t>Conexión a Internet Banda Ancha</w:t>
            </w:r>
          </w:p>
        </w:tc>
        <w:tc>
          <w:tcPr>
            <w:tcW w:type="dxa" w:w="2068"/>
          </w:tcPr>
          <w:p>
            <w:pPr>
              <w:jc w:val="left"/>
              <w:spacing w:line="240" w:after="30"/>
            </w:pPr>
            <w:r/>
            <w:r>
              <w:rPr>
                <w:rFonts w:ascii="Times New Roman" w:hAnsi="Times New Roman"/>
                <w:sz w:val="20"/>
              </w:rPr>
              <w:t>Fibra óptica simétrica 50 Mbps + respaldo 4G</w:t>
            </w:r>
          </w:p>
        </w:tc>
        <w:tc>
          <w:tcPr>
            <w:tcW w:type="dxa" w:w="2068"/>
          </w:tcPr>
          <w:p>
            <w:pPr>
              <w:jc w:val="left"/>
              <w:spacing w:line="240" w:after="30"/>
            </w:pPr>
            <w:r/>
            <w:r>
              <w:rPr>
                <w:rFonts w:ascii="Times New Roman" w:hAnsi="Times New Roman"/>
                <w:sz w:val="20"/>
              </w:rPr>
              <w:t>Operativo en sede</w:t>
            </w:r>
          </w:p>
        </w:tc>
      </w:tr>
      <w:tr>
        <w:tc>
          <w:tcPr>
            <w:tcW w:type="dxa" w:w="2068"/>
          </w:tcPr>
          <w:p>
            <w:pPr>
              <w:jc w:val="center"/>
              <w:spacing w:line="240" w:after="30"/>
            </w:pPr>
            <w:r/>
            <w:r>
              <w:rPr>
                <w:rFonts w:ascii="Times New Roman" w:hAnsi="Times New Roman"/>
                <w:sz w:val="20"/>
              </w:rPr>
              <w:t>5</w:t>
            </w:r>
          </w:p>
        </w:tc>
        <w:tc>
          <w:tcPr>
            <w:tcW w:type="dxa" w:w="2068"/>
          </w:tcPr>
          <w:p>
            <w:pPr>
              <w:jc w:val="left"/>
              <w:spacing w:line="240" w:after="30"/>
            </w:pPr>
            <w:r/>
            <w:r>
              <w:rPr>
                <w:rFonts w:ascii="Times New Roman" w:hAnsi="Times New Roman"/>
                <w:sz w:val="20"/>
              </w:rPr>
              <w:t>Dispositivo Móvil / Smartphone</w:t>
            </w:r>
          </w:p>
        </w:tc>
        <w:tc>
          <w:tcPr>
            <w:tcW w:type="dxa" w:w="2068"/>
          </w:tcPr>
          <w:p>
            <w:pPr>
              <w:jc w:val="left"/>
              <w:spacing w:line="240" w:after="30"/>
            </w:pPr>
            <w:r/>
            <w:r>
              <w:rPr>
                <w:rFonts w:ascii="Times New Roman" w:hAnsi="Times New Roman"/>
                <w:sz w:val="20"/>
              </w:rPr>
              <w:t>Cámara para captura de fotografías de prendas y escaneo QR</w:t>
            </w:r>
          </w:p>
        </w:tc>
        <w:tc>
          <w:tcPr>
            <w:tcW w:type="dxa" w:w="2068"/>
          </w:tcPr>
          <w:p>
            <w:pPr>
              <w:jc w:val="left"/>
              <w:spacing w:line="240" w:after="30"/>
            </w:pPr>
            <w:r/>
            <w:r>
              <w:rPr>
                <w:rFonts w:ascii="Times New Roman" w:hAnsi="Times New Roman"/>
                <w:sz w:val="20"/>
              </w:rPr>
              <w:t>Propiedad del operador</w:t>
            </w:r>
          </w:p>
        </w:tc>
      </w:tr>
      <w:tr>
        <w:tc>
          <w:tcPr>
            <w:tcW w:type="dxa" w:w="2068"/>
          </w:tcPr>
          <w:p>
            <w:pPr>
              <w:jc w:val="center"/>
              <w:spacing w:line="240" w:after="30"/>
            </w:pPr>
            <w:r/>
            <w:r>
              <w:rPr>
                <w:rFonts w:ascii="Times New Roman" w:hAnsi="Times New Roman"/>
                <w:sz w:val="20"/>
              </w:rPr>
              <w:t>6</w:t>
            </w:r>
          </w:p>
        </w:tc>
        <w:tc>
          <w:tcPr>
            <w:tcW w:type="dxa" w:w="2068"/>
          </w:tcPr>
          <w:p>
            <w:pPr>
              <w:jc w:val="left"/>
              <w:spacing w:line="240" w:after="30"/>
            </w:pPr>
            <w:r/>
            <w:r>
              <w:rPr>
                <w:rFonts w:ascii="Times New Roman" w:hAnsi="Times New Roman"/>
                <w:sz w:val="20"/>
              </w:rPr>
              <w:t>Servidor de Base de Datos y Hosting</w:t>
            </w:r>
          </w:p>
        </w:tc>
        <w:tc>
          <w:tcPr>
            <w:tcW w:type="dxa" w:w="2068"/>
          </w:tcPr>
          <w:p>
            <w:pPr>
              <w:jc w:val="left"/>
              <w:spacing w:line="240" w:after="30"/>
            </w:pPr>
            <w:r/>
            <w:r>
              <w:rPr>
                <w:rFonts w:ascii="Times New Roman" w:hAnsi="Times New Roman"/>
                <w:sz w:val="20"/>
              </w:rPr>
              <w:t>Plataforma Cloud (PostgreSQL) + Edge Hosting</w:t>
            </w:r>
          </w:p>
        </w:tc>
        <w:tc>
          <w:tcPr>
            <w:tcW w:type="dxa" w:w="2068"/>
          </w:tcPr>
          <w:p>
            <w:pPr>
              <w:jc w:val="left"/>
              <w:spacing w:line="240" w:after="30"/>
            </w:pPr>
            <w:r/>
            <w:r>
              <w:rPr>
                <w:rFonts w:ascii="Times New Roman" w:hAnsi="Times New Roman"/>
                <w:sz w:val="20"/>
              </w:rPr>
              <w:t>Configurado y activo</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El Cuadro 11 evidencia que la empresa ya dispone de la totalidad del hardware y conectividad necesarios para el funcionamiento del sistema, lo cual elimina la necesidad de compras de capital adicionales.</w:t>
      </w:r>
    </w:p>
    <w:p>
      <w:pPr>
        <w:jc w:val="left"/>
        <w:spacing w:line="360" w:lineRule="auto" w:after="80" w:before="200"/>
        <w:ind w:firstLine="0" w:left="0"/>
      </w:pPr>
      <w:r/>
      <w:r>
        <w:rPr>
          <w:rFonts w:ascii="Times New Roman" w:hAnsi="Times New Roman"/>
          <w:b/>
          <w:i/>
          <w:sz w:val="24"/>
        </w:rPr>
        <w:t>Factibilidad Económica y Financiera</w:t>
      </w:r>
    </w:p>
    <w:p>
      <w:pPr>
        <w:jc w:val="both"/>
        <w:spacing w:line="360" w:lineRule="auto" w:after="120" w:before="0"/>
        <w:ind w:firstLine="720" w:left="0"/>
      </w:pPr>
      <w:r/>
      <w:r>
        <w:rPr>
          <w:rFonts w:ascii="Times New Roman" w:hAnsi="Times New Roman"/>
          <w:b w:val="0"/>
          <w:i w:val="0"/>
          <w:sz w:val="24"/>
        </w:rPr>
        <w:t>El análisis financiero demuestra que la propuesta es plenamente viable, ya que aprovecha tecnologías de código abierto (Open Source) y servicios de computación en la nube con niveles de uso de bajo coste operativo:</w:t>
      </w:r>
    </w:p>
    <w:p>
      <w:pPr>
        <w:jc w:val="left"/>
        <w:spacing w:line="360" w:lineRule="auto" w:after="80" w:before="200"/>
        <w:ind w:firstLine="0" w:left="0"/>
      </w:pPr>
      <w:r/>
      <w:r>
        <w:rPr>
          <w:rFonts w:ascii="Times New Roman" w:hAnsi="Times New Roman"/>
          <w:b w:val="0"/>
          <w:i w:val="0"/>
          <w:sz w:val="24"/>
        </w:rPr>
        <w:t>Cuadro 12</w:t>
        <w:br/>
        <w:t>Estimación de Costos de la Propuesta Tecnológica</w:t>
      </w:r>
    </w:p>
    <w:tbl>
      <w:tblPr>
        <w:tblW w:type="auto" w:w="0"/>
        <w:tblLayout w:type="fixed"/>
        <w:tblLook w:firstColumn="1" w:firstRow="1" w:lastColumn="0" w:lastRow="0" w:noHBand="0" w:noVBand="1" w:val="04A0"/>
        <w:tblBorders>
          <w:top w:val="single" w:sz="8" w:space="0" w:color="000000"/>
          <w:bottom w:val="single" w:sz="8" w:space="0" w:color="000000"/>
          <w:left w:val="none"/>
          <w:right w:val="none"/>
          <w:insideH w:val="single" w:sz="4" w:space="0" w:color="CCCCCC"/>
          <w:insideV w:val="none"/>
        </w:tblBorders>
        <w:jc w:val="center"/>
      </w:tblPr>
      <w:tblGrid>
        <w:gridCol w:w="2068"/>
        <w:gridCol w:w="2068"/>
        <w:gridCol w:w="2068"/>
        <w:gridCol w:w="2068"/>
      </w:tblGrid>
      <w:tr>
        <w:tc>
          <w:tcPr>
            <w:tcW w:type="dxa" w:w="2068"/>
          </w:tcPr>
          <w:p>
            <w:pPr>
              <w:jc w:val="center"/>
              <w:spacing w:line="240" w:after="40"/>
            </w:pPr>
            <w:r/>
            <w:r>
              <w:rPr>
                <w:rFonts w:ascii="Times New Roman" w:hAnsi="Times New Roman"/>
                <w:b/>
                <w:sz w:val="22"/>
              </w:rPr>
              <w:t>Rubro</w:t>
            </w:r>
          </w:p>
        </w:tc>
        <w:tc>
          <w:tcPr>
            <w:tcW w:type="dxa" w:w="2068"/>
          </w:tcPr>
          <w:p>
            <w:pPr>
              <w:jc w:val="center"/>
              <w:spacing w:line="240" w:after="40"/>
            </w:pPr>
            <w:r/>
            <w:r>
              <w:rPr>
                <w:rFonts w:ascii="Times New Roman" w:hAnsi="Times New Roman"/>
                <w:b/>
                <w:sz w:val="22"/>
              </w:rPr>
              <w:t>Descripción</w:t>
            </w:r>
          </w:p>
        </w:tc>
        <w:tc>
          <w:tcPr>
            <w:tcW w:type="dxa" w:w="2068"/>
          </w:tcPr>
          <w:p>
            <w:pPr>
              <w:jc w:val="center"/>
              <w:spacing w:line="240" w:after="40"/>
            </w:pPr>
            <w:r/>
            <w:r>
              <w:rPr>
                <w:rFonts w:ascii="Times New Roman" w:hAnsi="Times New Roman"/>
                <w:b/>
                <w:sz w:val="22"/>
              </w:rPr>
              <w:t>Costo Mensual (USD)</w:t>
            </w:r>
          </w:p>
        </w:tc>
        <w:tc>
          <w:tcPr>
            <w:tcW w:type="dxa" w:w="2068"/>
          </w:tcPr>
          <w:p>
            <w:pPr>
              <w:jc w:val="center"/>
              <w:spacing w:line="240" w:after="40"/>
            </w:pPr>
            <w:r/>
            <w:r>
              <w:rPr>
                <w:rFonts w:ascii="Times New Roman" w:hAnsi="Times New Roman"/>
                <w:b/>
                <w:sz w:val="22"/>
              </w:rPr>
              <w:t>Costo Anual (USD)</w:t>
            </w:r>
          </w:p>
        </w:tc>
      </w:tr>
      <w:tr>
        <w:tc>
          <w:tcPr>
            <w:tcW w:type="dxa" w:w="2068"/>
          </w:tcPr>
          <w:p>
            <w:pPr>
              <w:jc w:val="center"/>
              <w:spacing w:line="240" w:after="30"/>
            </w:pPr>
            <w:r/>
            <w:r>
              <w:rPr>
                <w:rFonts w:ascii="Times New Roman" w:hAnsi="Times New Roman"/>
                <w:sz w:val="20"/>
              </w:rPr>
              <w:t>Desarrollo e Implementación</w:t>
            </w:r>
          </w:p>
        </w:tc>
        <w:tc>
          <w:tcPr>
            <w:tcW w:type="dxa" w:w="2068"/>
          </w:tcPr>
          <w:p>
            <w:pPr>
              <w:jc w:val="left"/>
              <w:spacing w:line="240" w:after="30"/>
            </w:pPr>
            <w:r/>
            <w:r>
              <w:rPr>
                <w:rFonts w:ascii="Times New Roman" w:hAnsi="Times New Roman"/>
                <w:sz w:val="20"/>
              </w:rPr>
              <w:t>Diseño, modelado y programación del sistema (aporte de grado)</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Licencias de Software</w:t>
            </w:r>
          </w:p>
        </w:tc>
        <w:tc>
          <w:tcPr>
            <w:tcW w:type="dxa" w:w="2068"/>
          </w:tcPr>
          <w:p>
            <w:pPr>
              <w:jc w:val="left"/>
              <w:spacing w:line="240" w:after="30"/>
            </w:pPr>
            <w:r/>
            <w:r>
              <w:rPr>
                <w:rFonts w:ascii="Times New Roman" w:hAnsi="Times New Roman"/>
                <w:sz w:val="20"/>
              </w:rPr>
              <w:t>Uso de tecnologías libres (React, Next.js, Django, PostgreSQL)</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Hosting y Base de Datos Cloud</w:t>
            </w:r>
          </w:p>
        </w:tc>
        <w:tc>
          <w:tcPr>
            <w:tcW w:type="dxa" w:w="2068"/>
          </w:tcPr>
          <w:p>
            <w:pPr>
              <w:jc w:val="left"/>
              <w:spacing w:line="240" w:after="30"/>
            </w:pPr>
            <w:r/>
            <w:r>
              <w:rPr>
                <w:rFonts w:ascii="Times New Roman" w:hAnsi="Times New Roman"/>
                <w:sz w:val="20"/>
              </w:rPr>
              <w:t>Suscripción base en infraestructura cloud</w:t>
            </w:r>
          </w:p>
        </w:tc>
        <w:tc>
          <w:tcPr>
            <w:tcW w:type="dxa" w:w="2068"/>
          </w:tcPr>
          <w:p>
            <w:pPr>
              <w:jc w:val="center"/>
              <w:spacing w:line="240" w:after="30"/>
            </w:pPr>
            <w:r/>
            <w:r>
              <w:rPr>
                <w:rFonts w:ascii="Times New Roman" w:hAnsi="Times New Roman"/>
                <w:sz w:val="20"/>
              </w:rPr>
              <w:t>0.00</w:t>
            </w:r>
          </w:p>
        </w:tc>
        <w:tc>
          <w:tcPr>
            <w:tcW w:type="dxa" w:w="2068"/>
          </w:tcPr>
          <w:p>
            <w:pPr>
              <w:jc w:val="center"/>
              <w:spacing w:line="240" w:after="30"/>
            </w:pPr>
            <w:r/>
            <w:r>
              <w:rPr>
                <w:rFonts w:ascii="Times New Roman" w:hAnsi="Times New Roman"/>
                <w:sz w:val="20"/>
              </w:rPr>
              <w:t>0.00</w:t>
            </w:r>
          </w:p>
        </w:tc>
      </w:tr>
      <w:tr>
        <w:tc>
          <w:tcPr>
            <w:tcW w:type="dxa" w:w="2068"/>
          </w:tcPr>
          <w:p>
            <w:pPr>
              <w:jc w:val="center"/>
              <w:spacing w:line="240" w:after="30"/>
            </w:pPr>
            <w:r/>
            <w:r>
              <w:rPr>
                <w:rFonts w:ascii="Times New Roman" w:hAnsi="Times New Roman"/>
                <w:sz w:val="20"/>
              </w:rPr>
              <w:t>Insumos de Impresión y Oficina</w:t>
            </w:r>
          </w:p>
        </w:tc>
        <w:tc>
          <w:tcPr>
            <w:tcW w:type="dxa" w:w="2068"/>
          </w:tcPr>
          <w:p>
            <w:pPr>
              <w:jc w:val="left"/>
              <w:spacing w:line="240" w:after="30"/>
            </w:pPr>
            <w:r/>
            <w:r>
              <w:rPr>
                <w:rFonts w:ascii="Times New Roman" w:hAnsi="Times New Roman"/>
                <w:sz w:val="20"/>
              </w:rPr>
              <w:t>Papel bond tamaño carta, tóner y etiquetas de custodia</w:t>
            </w:r>
          </w:p>
        </w:tc>
        <w:tc>
          <w:tcPr>
            <w:tcW w:type="dxa" w:w="2068"/>
          </w:tcPr>
          <w:p>
            <w:pPr>
              <w:jc w:val="center"/>
              <w:spacing w:line="240" w:after="30"/>
            </w:pPr>
            <w:r/>
            <w:r>
              <w:rPr>
                <w:rFonts w:ascii="Times New Roman" w:hAnsi="Times New Roman"/>
                <w:sz w:val="20"/>
              </w:rPr>
              <w:t>15.00</w:t>
            </w:r>
          </w:p>
        </w:tc>
        <w:tc>
          <w:tcPr>
            <w:tcW w:type="dxa" w:w="2068"/>
          </w:tcPr>
          <w:p>
            <w:pPr>
              <w:jc w:val="center"/>
              <w:spacing w:line="240" w:after="30"/>
            </w:pPr>
            <w:r/>
            <w:r>
              <w:rPr>
                <w:rFonts w:ascii="Times New Roman" w:hAnsi="Times New Roman"/>
                <w:sz w:val="20"/>
              </w:rPr>
              <w:t>180.00</w:t>
            </w:r>
          </w:p>
        </w:tc>
      </w:tr>
      <w:tr>
        <w:tc>
          <w:tcPr>
            <w:tcW w:type="dxa" w:w="2068"/>
          </w:tcPr>
          <w:p>
            <w:pPr>
              <w:jc w:val="center"/>
              <w:spacing w:line="240" w:after="30"/>
            </w:pPr>
            <w:r/>
            <w:r>
              <w:rPr>
                <w:rFonts w:ascii="Times New Roman" w:hAnsi="Times New Roman"/>
                <w:sz w:val="20"/>
              </w:rPr>
              <w:t>Mantenimiento Preventivo</w:t>
            </w:r>
          </w:p>
        </w:tc>
        <w:tc>
          <w:tcPr>
            <w:tcW w:type="dxa" w:w="2068"/>
          </w:tcPr>
          <w:p>
            <w:pPr>
              <w:jc w:val="left"/>
              <w:spacing w:line="240" w:after="30"/>
            </w:pPr>
            <w:r/>
            <w:r>
              <w:rPr>
                <w:rFonts w:ascii="Times New Roman" w:hAnsi="Times New Roman"/>
                <w:sz w:val="20"/>
              </w:rPr>
              <w:t>Revisión técnica de equipos de red y respaldos periódicos</w:t>
            </w:r>
          </w:p>
        </w:tc>
        <w:tc>
          <w:tcPr>
            <w:tcW w:type="dxa" w:w="2068"/>
          </w:tcPr>
          <w:p>
            <w:pPr>
              <w:jc w:val="center"/>
              <w:spacing w:line="240" w:after="30"/>
            </w:pPr>
            <w:r/>
            <w:r>
              <w:rPr>
                <w:rFonts w:ascii="Times New Roman" w:hAnsi="Times New Roman"/>
                <w:sz w:val="20"/>
              </w:rPr>
              <w:t>20.00</w:t>
            </w:r>
          </w:p>
        </w:tc>
        <w:tc>
          <w:tcPr>
            <w:tcW w:type="dxa" w:w="2068"/>
          </w:tcPr>
          <w:p>
            <w:pPr>
              <w:jc w:val="center"/>
              <w:spacing w:line="240" w:after="30"/>
            </w:pPr>
            <w:r/>
            <w:r>
              <w:rPr>
                <w:rFonts w:ascii="Times New Roman" w:hAnsi="Times New Roman"/>
                <w:sz w:val="20"/>
              </w:rPr>
              <w:t>240.00</w:t>
            </w:r>
          </w:p>
        </w:tc>
      </w:tr>
      <w:tr>
        <w:tc>
          <w:tcPr>
            <w:tcW w:type="dxa" w:w="2068"/>
          </w:tcPr>
          <w:p>
            <w:pPr>
              <w:jc w:val="center"/>
              <w:spacing w:line="240" w:after="30"/>
            </w:pPr>
            <w:r/>
            <w:r>
              <w:rPr>
                <w:rFonts w:ascii="Times New Roman" w:hAnsi="Times New Roman"/>
                <w:sz w:val="20"/>
              </w:rPr>
              <w:t>Total Estimado</w:t>
            </w:r>
          </w:p>
        </w:tc>
        <w:tc>
          <w:tcPr>
            <w:tcW w:type="dxa" w:w="2068"/>
          </w:tcPr>
          <w:p>
            <w:pPr>
              <w:jc w:val="left"/>
              <w:spacing w:line="240" w:after="30"/>
            </w:pPr>
            <w:r/>
            <w:r>
              <w:rPr>
                <w:rFonts w:ascii="Times New Roman" w:hAnsi="Times New Roman"/>
                <w:sz w:val="20"/>
              </w:rPr>
              <w:t>Costo total de operación tecnológica de la propuesta</w:t>
            </w:r>
          </w:p>
        </w:tc>
        <w:tc>
          <w:tcPr>
            <w:tcW w:type="dxa" w:w="2068"/>
          </w:tcPr>
          <w:p>
            <w:pPr>
              <w:jc w:val="center"/>
              <w:spacing w:line="240" w:after="30"/>
            </w:pPr>
            <w:r/>
            <w:r>
              <w:rPr>
                <w:rFonts w:ascii="Times New Roman" w:hAnsi="Times New Roman"/>
                <w:sz w:val="20"/>
              </w:rPr>
              <w:t>35.00</w:t>
            </w:r>
          </w:p>
        </w:tc>
        <w:tc>
          <w:tcPr>
            <w:tcW w:type="dxa" w:w="2068"/>
          </w:tcPr>
          <w:p>
            <w:pPr>
              <w:jc w:val="center"/>
              <w:spacing w:line="240" w:after="30"/>
            </w:pPr>
            <w:r/>
            <w:r>
              <w:rPr>
                <w:rFonts w:ascii="Times New Roman" w:hAnsi="Times New Roman"/>
                <w:sz w:val="20"/>
              </w:rPr>
              <w:t>420.00</w:t>
            </w:r>
          </w:p>
        </w:tc>
      </w:tr>
    </w:tbl>
    <w:p>
      <w:pPr>
        <w:jc w:val="left"/>
        <w:spacing w:line="360" w:lineRule="auto" w:after="200" w:before="40"/>
        <w:ind w:firstLine="0" w:left="0"/>
      </w:pPr>
      <w:r/>
      <w:r>
        <w:rPr>
          <w:rFonts w:ascii="Times New Roman" w:hAnsi="Times New Roman"/>
          <w:b w:val="0"/>
          <w:i w:val="0"/>
          <w:sz w:val="24"/>
        </w:rPr>
        <w:t>Fuente: Alvarado, L. (2026).</w:t>
      </w:r>
    </w:p>
    <w:p>
      <w:pPr>
        <w:jc w:val="both"/>
        <w:spacing w:line="360" w:lineRule="auto" w:after="120" w:before="0"/>
        <w:ind w:firstLine="720" w:left="0"/>
      </w:pPr>
      <w:r/>
      <w:r>
        <w:rPr>
          <w:rFonts w:ascii="Times New Roman" w:hAnsi="Times New Roman"/>
          <w:b w:val="0"/>
          <w:i w:val="0"/>
          <w:sz w:val="24"/>
        </w:rPr>
        <w:t>Análisis Costo-Beneficio: La inversión operativa anual de aproximadamente $420.00 USD es ampliamente compensada por los beneficios tangibles generados:</w:t>
      </w:r>
    </w:p>
    <w:p>
      <w:pPr>
        <w:jc w:val="both"/>
        <w:spacing w:line="360" w:lineRule="auto" w:after="120" w:before="0"/>
        <w:ind w:firstLine="720" w:left="0"/>
      </w:pPr>
      <w:r/>
      <w:r>
        <w:rPr>
          <w:rFonts w:ascii="Times New Roman" w:hAnsi="Times New Roman"/>
          <w:b w:val="0"/>
          <w:i w:val="0"/>
          <w:sz w:val="24"/>
        </w:rPr>
        <w:t>1. Eliminación de pérdidas por cobro erróneo de intereses moratorios o retención indebida de prendas, estimadas previamente en más de $1,200.00 USD anuales debido a imprecisiones en fórmulas manuales.</w:t>
      </w:r>
    </w:p>
    <w:p>
      <w:pPr>
        <w:jc w:val="both"/>
        <w:spacing w:line="360" w:lineRule="auto" w:after="120" w:before="0"/>
        <w:ind w:firstLine="720" w:left="0"/>
      </w:pPr>
      <w:r/>
      <w:r>
        <w:rPr>
          <w:rFonts w:ascii="Times New Roman" w:hAnsi="Times New Roman"/>
          <w:b w:val="0"/>
          <w:i w:val="0"/>
          <w:sz w:val="24"/>
        </w:rPr>
        <w:t>2. Reducción del 80% en horas-hombre invertidas en conciliación de cajas y elaboración de reportes mensuales para la junta directiva.</w:t>
      </w:r>
    </w:p>
    <w:p>
      <w:pPr>
        <w:jc w:val="both"/>
        <w:spacing w:line="360" w:lineRule="auto" w:after="120" w:before="0"/>
        <w:ind w:firstLine="720" w:left="0"/>
      </w:pPr>
      <w:r/>
      <w:r>
        <w:rPr>
          <w:rFonts w:ascii="Times New Roman" w:hAnsi="Times New Roman"/>
          <w:b w:val="0"/>
          <w:i w:val="0"/>
          <w:sz w:val="24"/>
        </w:rPr>
        <w:t>3. Seguridad absoluta del inventario en custodia contra extravíos o descuadres no autorizados, confiriendo a la solución un Retorno sobre la Inversión (ROI) positivo inmediato.</w:t>
      </w:r>
    </w:p>
    <w:p>
      <w:pPr>
        <w:jc w:val="left"/>
        <w:spacing w:line="360" w:lineRule="auto" w:after="120" w:before="280"/>
        <w:ind w:firstLine="0" w:left="0"/>
      </w:pPr>
      <w:r/>
      <w:r>
        <w:rPr>
          <w:rFonts w:ascii="Times New Roman" w:hAnsi="Times New Roman"/>
          <w:b/>
          <w:i w:val="0"/>
          <w:sz w:val="24"/>
        </w:rPr>
        <w:t>Estructura del Sistema</w:t>
      </w:r>
    </w:p>
    <w:p>
      <w:pPr>
        <w:jc w:val="left"/>
        <w:spacing w:line="360" w:lineRule="auto" w:after="80" w:before="200"/>
        <w:ind w:firstLine="0" w:left="0"/>
      </w:pPr>
      <w:r/>
      <w:r>
        <w:rPr>
          <w:rFonts w:ascii="Times New Roman" w:hAnsi="Times New Roman"/>
          <w:b/>
          <w:i/>
          <w:sz w:val="24"/>
        </w:rPr>
        <w:t>Especificación de Requerimientos del Sistema</w:t>
      </w:r>
    </w:p>
    <w:p>
      <w:pPr>
        <w:jc w:val="both"/>
        <w:spacing w:line="360" w:lineRule="auto" w:after="120" w:before="0"/>
        <w:ind w:firstLine="720" w:left="0"/>
      </w:pPr>
      <w:r/>
      <w:r>
        <w:rPr>
          <w:rFonts w:ascii="Times New Roman" w:hAnsi="Times New Roman"/>
          <w:b w:val="0"/>
          <w:i w:val="0"/>
          <w:sz w:val="24"/>
        </w:rPr>
        <w:t>A partir de la fase diagnóstica, se definieron con exactitud los requerimientos que rigen el funcionamiento del software:</w:t>
      </w:r>
    </w:p>
    <w:p>
      <w:pPr>
        <w:jc w:val="both"/>
        <w:spacing w:line="360" w:lineRule="auto" w:after="120" w:before="0"/>
        <w:ind w:firstLine="720" w:left="0"/>
      </w:pPr>
      <w:r/>
      <w:r>
        <w:rPr>
          <w:rFonts w:ascii="Times New Roman" w:hAnsi="Times New Roman"/>
          <w:b w:val="0"/>
          <w:i w:val="0"/>
          <w:sz w:val="24"/>
        </w:rPr>
        <w:t>Requerimientos Funcionales (RF):</w:t>
      </w:r>
    </w:p>
    <w:p>
      <w:pPr>
        <w:jc w:val="both"/>
        <w:spacing w:line="360" w:lineRule="auto" w:after="120" w:before="0"/>
        <w:ind w:firstLine="720" w:left="0"/>
      </w:pPr>
      <w:r/>
      <w:r>
        <w:rPr>
          <w:rFonts w:ascii="Times New Roman" w:hAnsi="Times New Roman"/>
          <w:b w:val="0"/>
          <w:i w:val="0"/>
          <w:sz w:val="24"/>
        </w:rPr>
        <w:t>• RF-01 (Autenticación y Perfiles): El sistema debe permitir el inicio de sesión seguro con correo electrónico y contraseña encriptada, asignando roles diferenciados (Gerente, Administrador, Cajero).</w:t>
      </w:r>
    </w:p>
    <w:p>
      <w:pPr>
        <w:jc w:val="both"/>
        <w:spacing w:line="360" w:lineRule="auto" w:after="120" w:before="0"/>
        <w:ind w:firstLine="720" w:left="0"/>
      </w:pPr>
      <w:r/>
      <w:r>
        <w:rPr>
          <w:rFonts w:ascii="Times New Roman" w:hAnsi="Times New Roman"/>
          <w:b w:val="0"/>
          <w:i w:val="0"/>
          <w:sz w:val="24"/>
        </w:rPr>
        <w:t>• RF-02 (Gestión de Clientes): Debe registrar y actualizar los datos personales de los clientes (cédula, nombres, teléfono, dirección, correo), validando unicidad de documento.</w:t>
      </w:r>
    </w:p>
    <w:p>
      <w:pPr>
        <w:jc w:val="both"/>
        <w:spacing w:line="360" w:lineRule="auto" w:after="120" w:before="0"/>
        <w:ind w:firstLine="720" w:left="0"/>
      </w:pPr>
      <w:r/>
      <w:r>
        <w:rPr>
          <w:rFonts w:ascii="Times New Roman" w:hAnsi="Times New Roman"/>
          <w:b w:val="0"/>
          <w:i w:val="0"/>
          <w:sz w:val="24"/>
        </w:rPr>
        <w:t>• RF-03 (Registro y Tasación de Boletas de Empeño): El operador debe registrar prendas (tipo, kilataje, peso en gramos, estado físico) y emitir la boleta prendaria con número único correlativo.</w:t>
      </w:r>
    </w:p>
    <w:p>
      <w:pPr>
        <w:jc w:val="both"/>
        <w:spacing w:line="360" w:lineRule="auto" w:after="120" w:before="0"/>
        <w:ind w:firstLine="720" w:left="0"/>
      </w:pPr>
      <w:r/>
      <w:r>
        <w:rPr>
          <w:rFonts w:ascii="Times New Roman" w:hAnsi="Times New Roman"/>
          <w:b w:val="0"/>
          <w:i w:val="0"/>
          <w:sz w:val="24"/>
        </w:rPr>
        <w:t>• RF-04 (Captura Fotográfica Remota): El sistema debe generar un token y código QR para permitir al operador fotografiar la joya con su teléfono móvil e incrustarla al contrato en tiempo real.</w:t>
      </w:r>
    </w:p>
    <w:p>
      <w:pPr>
        <w:jc w:val="both"/>
        <w:spacing w:line="360" w:lineRule="auto" w:after="120" w:before="0"/>
        <w:ind w:firstLine="720" w:left="0"/>
      </w:pPr>
      <w:r/>
      <w:r>
        <w:rPr>
          <w:rFonts w:ascii="Times New Roman" w:hAnsi="Times New Roman"/>
          <w:b w:val="0"/>
          <w:i w:val="0"/>
          <w:sz w:val="24"/>
        </w:rPr>
        <w:t>• RF-05 (Cálculo Automatizado de Intereses y Custodia): Debe calcular automáticamente la fecha de vencimiento (30 días), la tasa de interés pactada, la tasa de custodia y la mora en caso de retraso.</w:t>
      </w:r>
    </w:p>
    <w:p>
      <w:pPr>
        <w:jc w:val="both"/>
        <w:spacing w:line="360" w:lineRule="auto" w:after="120" w:before="0"/>
        <w:ind w:firstLine="720" w:left="0"/>
      </w:pPr>
      <w:r/>
      <w:r>
        <w:rPr>
          <w:rFonts w:ascii="Times New Roman" w:hAnsi="Times New Roman"/>
          <w:b w:val="0"/>
          <w:i w:val="0"/>
          <w:sz w:val="24"/>
        </w:rPr>
        <w:t>• RF-06 (Gestión de Renovaciones y Prórrogas): Debe permitir renovar contratos vencidos mediante el cobro de intereses generados y aplicación opcional de abonos al capital adeudado.</w:t>
      </w:r>
    </w:p>
    <w:p>
      <w:pPr>
        <w:jc w:val="both"/>
        <w:spacing w:line="360" w:lineRule="auto" w:after="120" w:before="0"/>
        <w:ind w:firstLine="720" w:left="0"/>
      </w:pPr>
      <w:r/>
      <w:r>
        <w:rPr>
          <w:rFonts w:ascii="Times New Roman" w:hAnsi="Times New Roman"/>
          <w:b w:val="0"/>
          <w:i w:val="0"/>
          <w:sz w:val="24"/>
        </w:rPr>
        <w:t>• RF-07 (Cancelación y Rescate de Garantías): Debe procesar el pago total del saldo insoluto, emitiendo el acta de desempeño y liberando el bien prendario.</w:t>
      </w:r>
    </w:p>
    <w:p>
      <w:pPr>
        <w:jc w:val="both"/>
        <w:spacing w:line="360" w:lineRule="auto" w:after="120" w:before="0"/>
        <w:ind w:firstLine="720" w:left="0"/>
      </w:pPr>
      <w:r/>
      <w:r>
        <w:rPr>
          <w:rFonts w:ascii="Times New Roman" w:hAnsi="Times New Roman"/>
          <w:b w:val="0"/>
          <w:i w:val="0"/>
          <w:sz w:val="24"/>
        </w:rPr>
        <w:t>• RF-08 (Compra de Metales Preciosos): Debe registrar la compra de oro y plata desglosando kilataje, peso bruto y calculando automáticamente los gramos puros equivalentes y valor a liquidar.</w:t>
      </w:r>
    </w:p>
    <w:p>
      <w:pPr>
        <w:jc w:val="both"/>
        <w:spacing w:line="360" w:lineRule="auto" w:after="120" w:before="0"/>
        <w:ind w:firstLine="720" w:left="0"/>
      </w:pPr>
      <w:r/>
      <w:r>
        <w:rPr>
          <w:rFonts w:ascii="Times New Roman" w:hAnsi="Times New Roman"/>
          <w:b w:val="0"/>
          <w:i w:val="0"/>
          <w:sz w:val="24"/>
        </w:rPr>
        <w:t>• RF-09 (Arqueo y Cierre de Caja Multimoneda): Debe controlar aperturas, ingresos, egresos y arqueos diarios en divisas (USD en efectivo), bolívares (VES) y transferencias.</w:t>
      </w:r>
    </w:p>
    <w:p>
      <w:pPr>
        <w:jc w:val="both"/>
        <w:spacing w:line="360" w:lineRule="auto" w:after="120" w:before="0"/>
        <w:ind w:firstLine="720" w:left="0"/>
      </w:pPr>
      <w:r/>
      <w:r>
        <w:rPr>
          <w:rFonts w:ascii="Times New Roman" w:hAnsi="Times New Roman"/>
          <w:b w:val="0"/>
          <w:i w:val="0"/>
          <w:sz w:val="24"/>
        </w:rPr>
        <w:t>• RF-10 (Emisión de Contratos en Formato Carta): Debe generar contratos formales de empeño en formato PDF tamaño Carta con código QR verificable y cláusulas legales según el Código de Comercio.</w:t>
      </w:r>
    </w:p>
    <w:p>
      <w:pPr>
        <w:jc w:val="both"/>
        <w:spacing w:line="360" w:lineRule="auto" w:after="120" w:before="0"/>
        <w:ind w:firstLine="720" w:left="0"/>
      </w:pPr>
      <w:r/>
      <w:r>
        <w:rPr>
          <w:rFonts w:ascii="Times New Roman" w:hAnsi="Times New Roman"/>
          <w:b w:val="0"/>
          <w:i w:val="0"/>
          <w:sz w:val="24"/>
        </w:rPr>
        <w:t>• RF-11 (Auditoría de Eventos): Debe registrar en una bitácora inalterable (AuditLog) toda acción crítica realizada en el sistema (creación, edición, anulación) con usuario, IP y hora.</w:t>
      </w:r>
    </w:p>
    <w:p>
      <w:pPr>
        <w:jc w:val="both"/>
        <w:spacing w:line="360" w:lineRule="auto" w:after="120" w:before="0"/>
        <w:ind w:firstLine="720" w:left="0"/>
      </w:pPr>
      <w:r/>
      <w:r>
        <w:rPr>
          <w:rFonts w:ascii="Times New Roman" w:hAnsi="Times New Roman"/>
          <w:b w:val="0"/>
          <w:i w:val="0"/>
          <w:sz w:val="24"/>
        </w:rPr>
        <w:t>• RF-12 (Reportes Gerenciales): Debe generar reportes de cartera activa, boletas vencidas, balance de caja y rendimiento de fuentes de capital en PDF y formato Excel.</w:t>
      </w:r>
    </w:p>
    <w:p>
      <w:pPr>
        <w:jc w:val="both"/>
        <w:spacing w:line="360" w:lineRule="auto" w:after="120" w:before="0"/>
        <w:ind w:firstLine="720" w:left="0"/>
      </w:pPr>
      <w:r/>
      <w:r>
        <w:rPr>
          <w:rFonts w:ascii="Times New Roman" w:hAnsi="Times New Roman"/>
          <w:b w:val="0"/>
          <w:i w:val="0"/>
          <w:sz w:val="24"/>
        </w:rPr>
        <w:t>Requerimientos No Funcionales (RNF):</w:t>
      </w:r>
    </w:p>
    <w:p>
      <w:pPr>
        <w:jc w:val="both"/>
        <w:spacing w:line="360" w:lineRule="auto" w:after="120" w:before="0"/>
        <w:ind w:firstLine="720" w:left="0"/>
      </w:pPr>
      <w:r/>
      <w:r>
        <w:rPr>
          <w:rFonts w:ascii="Times New Roman" w:hAnsi="Times New Roman"/>
          <w:b w:val="0"/>
          <w:i w:val="0"/>
          <w:sz w:val="24"/>
        </w:rPr>
        <w:t>• RNF-01 (Seguridad y Confidencialidad): Las contraseñas se almacenan mediante funciones hash seguras (bcrypt). Todas las comunicaciones viajan sobre protocolo cifrado HTTPS.</w:t>
      </w:r>
    </w:p>
    <w:p>
      <w:pPr>
        <w:jc w:val="both"/>
        <w:spacing w:line="360" w:lineRule="auto" w:after="120" w:before="0"/>
        <w:ind w:firstLine="720" w:left="0"/>
      </w:pPr>
      <w:r/>
      <w:r>
        <w:rPr>
          <w:rFonts w:ascii="Times New Roman" w:hAnsi="Times New Roman"/>
          <w:b w:val="0"/>
          <w:i w:val="0"/>
          <w:sz w:val="24"/>
        </w:rPr>
        <w:t>• RNF-02 (Rendimiento y Tiempo de Respuesta): Las consultas y cálculos en el servidor deben procesarse en menos de 1.5 segundos bajo condiciones normales de red.</w:t>
      </w:r>
    </w:p>
    <w:p>
      <w:pPr>
        <w:jc w:val="both"/>
        <w:spacing w:line="360" w:lineRule="auto" w:after="120" w:before="0"/>
        <w:ind w:firstLine="720" w:left="0"/>
      </w:pPr>
      <w:r/>
      <w:r>
        <w:rPr>
          <w:rFonts w:ascii="Times New Roman" w:hAnsi="Times New Roman"/>
          <w:b w:val="0"/>
          <w:i w:val="0"/>
          <w:sz w:val="24"/>
        </w:rPr>
        <w:t>• RNF-03 (Disponibilidad y Confiabilidad): El sistema debe ofrecer una disponibilidad mínima del 99.5% gracias al despliegue en infraestructura de alta tolerancia a fallos.</w:t>
      </w:r>
    </w:p>
    <w:p>
      <w:pPr>
        <w:jc w:val="both"/>
        <w:spacing w:line="360" w:lineRule="auto" w:after="120" w:before="0"/>
        <w:ind w:firstLine="720" w:left="0"/>
      </w:pPr>
      <w:r/>
      <w:r>
        <w:rPr>
          <w:rFonts w:ascii="Times New Roman" w:hAnsi="Times New Roman"/>
          <w:b w:val="0"/>
          <w:i w:val="0"/>
          <w:sz w:val="24"/>
        </w:rPr>
        <w:t>• RNF-04 (Integridad Transaccional): Las operaciones financieras cumplen con las propiedades ACID (Atomicidad, Consistencia, Aislamiento y Durabilidad) mediante el motor PostgreSQL.</w:t>
      </w:r>
    </w:p>
    <w:p>
      <w:pPr>
        <w:jc w:val="both"/>
        <w:spacing w:line="360" w:lineRule="auto" w:after="120" w:before="0"/>
        <w:ind w:firstLine="720" w:left="0"/>
      </w:pPr>
      <w:r/>
      <w:r>
        <w:rPr>
          <w:rFonts w:ascii="Times New Roman" w:hAnsi="Times New Roman"/>
          <w:b w:val="0"/>
          <w:i w:val="0"/>
          <w:sz w:val="24"/>
        </w:rPr>
        <w:t>• RNF-05 (Usabilidad y Ergonomía): Interfaces responsivas desarrolladas bajo principios de usabilidad, adaptadas para pantallas táctiles y teclado rápido.</w:t>
      </w:r>
    </w:p>
    <w:p>
      <w:pPr>
        <w:jc w:val="both"/>
        <w:spacing w:line="360" w:lineRule="auto" w:after="120" w:before="0"/>
        <w:ind w:firstLine="720" w:left="0"/>
      </w:pPr>
      <w:r/>
      <w:r>
        <w:rPr>
          <w:rFonts w:ascii="Times New Roman" w:hAnsi="Times New Roman"/>
          <w:b w:val="0"/>
          <w:i w:val="0"/>
          <w:sz w:val="24"/>
        </w:rPr>
        <w:t>• RNF-06 (Mantenibilidad): Código fuente modular y tipado estricto en TypeScript y Python, con separación clara de capas de negocio y presentación.</w:t>
      </w:r>
    </w:p>
    <w:p>
      <w:pPr>
        <w:jc w:val="left"/>
        <w:spacing w:line="360" w:lineRule="auto" w:after="80" w:before="200"/>
        <w:ind w:firstLine="0" w:left="0"/>
      </w:pPr>
      <w:r/>
      <w:r>
        <w:rPr>
          <w:rFonts w:ascii="Times New Roman" w:hAnsi="Times New Roman"/>
          <w:b/>
          <w:i/>
          <w:sz w:val="24"/>
        </w:rPr>
        <w:t>Arquitectura Global del Software</w:t>
      </w:r>
    </w:p>
    <w:p>
      <w:pPr>
        <w:jc w:val="both"/>
        <w:spacing w:line="360" w:lineRule="auto" w:after="120" w:before="0"/>
        <w:ind w:firstLine="720" w:left="0"/>
      </w:pPr>
      <w:r/>
      <w:r>
        <w:rPr>
          <w:rFonts w:ascii="Times New Roman" w:hAnsi="Times New Roman"/>
          <w:b w:val="0"/>
          <w:i w:val="0"/>
          <w:sz w:val="24"/>
        </w:rPr>
        <w:t>La arquitectura técnica del sistema responde a un modelo cliente-servidor distribuido en tres capas independientes:</w:t>
      </w:r>
    </w:p>
    <w:p>
      <w:pPr>
        <w:jc w:val="both"/>
        <w:spacing w:line="360" w:lineRule="auto" w:after="120" w:before="0"/>
        <w:ind w:firstLine="720" w:left="0"/>
      </w:pPr>
      <w:r/>
      <w:r>
        <w:rPr>
          <w:rFonts w:ascii="Times New Roman" w:hAnsi="Times New Roman"/>
          <w:b w:val="0"/>
          <w:i w:val="0"/>
          <w:sz w:val="24"/>
        </w:rPr>
        <w:t>1. Capa de Presentación (Frontend): Compuesta por la aplicación web construida con Next.js/React y la interfaz SPA en Vite. Los operadores acceden desde cualquier navegador web moderno (Google Chrome, Mozilla Firefox, Safari) sin requerir instalaciones locales.</w:t>
      </w:r>
    </w:p>
    <w:p>
      <w:pPr>
        <w:jc w:val="both"/>
        <w:spacing w:line="360" w:lineRule="auto" w:after="120" w:before="0"/>
        <w:ind w:firstLine="720" w:left="0"/>
      </w:pPr>
      <w:r/>
      <w:r>
        <w:rPr>
          <w:rFonts w:ascii="Times New Roman" w:hAnsi="Times New Roman"/>
          <w:b w:val="0"/>
          <w:i w:val="0"/>
          <w:sz w:val="24"/>
        </w:rPr>
        <w:t>2. Capa de Lógica de Negocio (Backend y APIs): Integrada por Server Actions de Next.js y los servicios REST construidos en Django REST Framework. Esta capa centraliza las reglas financieras (algoritmos de cálculo de interés diario/mensual, prorrateo, tasas de custodia, conversión de kilatajes a gramos puros) y la validación de esquemas.</w:t>
      </w:r>
    </w:p>
    <w:p>
      <w:pPr>
        <w:jc w:val="both"/>
        <w:spacing w:line="360" w:lineRule="auto" w:after="120" w:before="0"/>
        <w:ind w:firstLine="720" w:left="0"/>
      </w:pPr>
      <w:r/>
      <w:r>
        <w:rPr>
          <w:rFonts w:ascii="Times New Roman" w:hAnsi="Times New Roman"/>
          <w:b w:val="0"/>
          <w:i w:val="0"/>
          <w:sz w:val="24"/>
        </w:rPr>
        <w:t>3. Capa de Persistencia y Almacenamiento (Base de Datos): Soportada por el motor relacional PostgreSQL alojado en la nube. Gestiona las tablas con integridad referencial estricta y almacena las fotografías de prendas en almacenamiento seguro de objetos.</w:t>
      </w:r>
    </w:p>
    <w:p>
      <w:pPr>
        <w:jc w:val="left"/>
        <w:spacing w:line="360" w:lineRule="auto" w:after="80" w:before="200"/>
        <w:ind w:firstLine="0" w:left="0"/>
      </w:pPr>
      <w:r/>
      <w:r>
        <w:rPr>
          <w:rFonts w:ascii="Times New Roman" w:hAnsi="Times New Roman"/>
          <w:b/>
          <w:i/>
          <w:sz w:val="24"/>
        </w:rPr>
        <w:t>Modelo de Datos Relacional y Diccionario de Datos</w:t>
      </w:r>
    </w:p>
    <w:p>
      <w:pPr>
        <w:jc w:val="both"/>
        <w:spacing w:line="360" w:lineRule="auto" w:after="120" w:before="0"/>
        <w:ind w:firstLine="720" w:left="0"/>
      </w:pPr>
      <w:r/>
      <w:r>
        <w:rPr>
          <w:rFonts w:ascii="Times New Roman" w:hAnsi="Times New Roman"/>
          <w:b w:val="0"/>
          <w:i w:val="0"/>
          <w:sz w:val="24"/>
        </w:rPr>
        <w:t>La estructura relacional del sistema fue normalizada para garantizar la consistencia absoluta de las operaciones. A continuación se detallan las entidades cardinales del modelo de datos:</w:t>
      </w:r>
    </w:p>
    <w:p>
      <w:pPr>
        <w:jc w:val="both"/>
        <w:spacing w:line="360" w:lineRule="auto" w:after="120" w:before="0"/>
        <w:ind w:firstLine="720" w:left="0"/>
      </w:pPr>
      <w:r/>
      <w:r>
        <w:rPr>
          <w:rFonts w:ascii="Times New Roman" w:hAnsi="Times New Roman"/>
          <w:b w:val="0"/>
          <w:i w:val="0"/>
          <w:sz w:val="24"/>
        </w:rPr>
        <w:t>• Entidad Cliente: Almacena los datos filiatorios del usuario (id, cedula [UNIQUE], nombre, telefono, direccion, email, fechaRegistro). Relación 1 a N con Boletas.</w:t>
      </w:r>
    </w:p>
    <w:p>
      <w:pPr>
        <w:jc w:val="both"/>
        <w:spacing w:line="360" w:lineRule="auto" w:after="120" w:before="0"/>
        <w:ind w:firstLine="720" w:left="0"/>
      </w:pPr>
      <w:r/>
      <w:r>
        <w:rPr>
          <w:rFonts w:ascii="Times New Roman" w:hAnsi="Times New Roman"/>
          <w:b w:val="0"/>
          <w:i w:val="0"/>
          <w:sz w:val="24"/>
        </w:rPr>
        <w:t>• Entidad Boleta: Núcleo del contrato prendario (id, numeroBoleta [UNIQUE], clienteId [FK], montoPrestamo, tasaInteres, plazoDias, tasaCustodia, tasaMora, fechaInicio, fechaVencimiento, estado [ACTIVA, RENOVADA, LIQUIDADA, VENCIDA], operadorId [FK]). Relación 1 a N con Artículos, Pagos, Renovaciones y CiclosInteres.</w:t>
      </w:r>
    </w:p>
    <w:p>
      <w:pPr>
        <w:jc w:val="both"/>
        <w:spacing w:line="360" w:lineRule="auto" w:after="120" w:before="0"/>
        <w:ind w:firstLine="720" w:left="0"/>
      </w:pPr>
      <w:r/>
      <w:r>
        <w:rPr>
          <w:rFonts w:ascii="Times New Roman" w:hAnsi="Times New Roman"/>
          <w:b w:val="0"/>
          <w:i w:val="0"/>
          <w:sz w:val="24"/>
        </w:rPr>
        <w:t>• Entidad Articulo: Detalla la prenda empeñada (id, boletaId [FK], nombre, tipo [ORO, PLATA, JOYA], descripcion, estado, valorEstimado, caracteristicas [JSON: kilates, peso], imagenes [ARRAY]).</w:t>
      </w:r>
    </w:p>
    <w:p>
      <w:pPr>
        <w:jc w:val="both"/>
        <w:spacing w:line="360" w:lineRule="auto" w:after="120" w:before="0"/>
        <w:ind w:firstLine="720" w:left="0"/>
      </w:pPr>
      <w:r/>
      <w:r>
        <w:rPr>
          <w:rFonts w:ascii="Times New Roman" w:hAnsi="Times New Roman"/>
          <w:b w:val="0"/>
          <w:i w:val="0"/>
          <w:sz w:val="24"/>
        </w:rPr>
        <w:t>• Entidad Pago: Registra los abonos económicos (id, boletaId [FK], monto, saldoRestante, tipo, metodoPago, referencia, fechaPago, usuarioId [FK], pagoInteres).</w:t>
      </w:r>
    </w:p>
    <w:p>
      <w:pPr>
        <w:jc w:val="both"/>
        <w:spacing w:line="360" w:lineRule="auto" w:after="120" w:before="0"/>
        <w:ind w:firstLine="720" w:left="0"/>
      </w:pPr>
      <w:r/>
      <w:r>
        <w:rPr>
          <w:rFonts w:ascii="Times New Roman" w:hAnsi="Times New Roman"/>
          <w:b w:val="0"/>
          <w:i w:val="0"/>
          <w:sz w:val="24"/>
        </w:rPr>
        <w:t>• Entidad Renovacion: Historial de extensiones contractuales (id, boletaId [FK], fechaRenovacion, fechaVencimientoAnterior, fechaVencimientoNueva, montoPago, interesPagado, abonoCapital, nuevoSaldo).</w:t>
      </w:r>
    </w:p>
    <w:p>
      <w:pPr>
        <w:jc w:val="both"/>
        <w:spacing w:line="360" w:lineRule="auto" w:after="120" w:before="0"/>
        <w:ind w:firstLine="720" w:left="0"/>
      </w:pPr>
      <w:r/>
      <w:r>
        <w:rPr>
          <w:rFonts w:ascii="Times New Roman" w:hAnsi="Times New Roman"/>
          <w:b w:val="0"/>
          <w:i w:val="0"/>
          <w:sz w:val="24"/>
        </w:rPr>
        <w:t>• Entidad Closure (Sesión de Caja): Control del turno contable (id, fecha, balanceInicialUSD, balanceInicialVES, totalEntradasUSD, totalSalidasUSD, arqueoEfectivo, estado [ABIERTA, CERRADA], usuarioId).</w:t>
      </w:r>
    </w:p>
    <w:p>
      <w:pPr>
        <w:jc w:val="both"/>
        <w:spacing w:line="360" w:lineRule="auto" w:after="120" w:before="0"/>
        <w:ind w:firstLine="720" w:left="0"/>
      </w:pPr>
      <w:r/>
      <w:r>
        <w:rPr>
          <w:rFonts w:ascii="Times New Roman" w:hAnsi="Times New Roman"/>
          <w:b w:val="0"/>
          <w:i w:val="0"/>
          <w:sz w:val="24"/>
        </w:rPr>
        <w:t>• Entidad ClosureGoldItem: Transacciones de compra de oro (id, closureId [FK], fecha, nombreCliente, kilate, pesoDelOro, precioDelOro, pureGrams, totalVenta, ganancia).</w:t>
      </w:r>
    </w:p>
    <w:p>
      <w:pPr>
        <w:jc w:val="both"/>
        <w:spacing w:line="360" w:lineRule="auto" w:after="120" w:before="0"/>
        <w:ind w:firstLine="720" w:left="0"/>
      </w:pPr>
      <w:r/>
      <w:r>
        <w:rPr>
          <w:rFonts w:ascii="Times New Roman" w:hAnsi="Times New Roman"/>
          <w:b w:val="0"/>
          <w:i w:val="0"/>
          <w:sz w:val="24"/>
        </w:rPr>
        <w:t>• Entidad AuditLog: Trazabilidad forense del sistema (id, occurredAt, actorEmail, actorRole, action, entityType, entityId, success, ip, userAgent).</w:t>
      </w:r>
    </w:p>
    <w:p>
      <w:pPr>
        <w:jc w:val="left"/>
        <w:spacing w:line="360" w:lineRule="auto" w:after="120" w:before="280"/>
        <w:ind w:firstLine="0" w:left="0"/>
      </w:pPr>
      <w:r/>
      <w:r>
        <w:rPr>
          <w:rFonts w:ascii="Times New Roman" w:hAnsi="Times New Roman"/>
          <w:b/>
          <w:i w:val="0"/>
          <w:sz w:val="24"/>
        </w:rPr>
        <w:t>Diseño del Sistema y Manual de Operación</w:t>
      </w:r>
    </w:p>
    <w:p>
      <w:pPr>
        <w:jc w:val="left"/>
        <w:spacing w:line="360" w:lineRule="auto" w:after="80" w:before="200"/>
        <w:ind w:firstLine="0" w:left="0"/>
      </w:pPr>
      <w:r/>
      <w:r>
        <w:rPr>
          <w:rFonts w:ascii="Times New Roman" w:hAnsi="Times New Roman"/>
          <w:b/>
          <w:i/>
          <w:sz w:val="24"/>
        </w:rPr>
        <w:t>Descripción de Módulos Funcionales</w:t>
      </w:r>
    </w:p>
    <w:p>
      <w:pPr>
        <w:jc w:val="both"/>
        <w:spacing w:line="360" w:lineRule="auto" w:after="120" w:before="0"/>
        <w:ind w:firstLine="720" w:left="0"/>
      </w:pPr>
      <w:r/>
      <w:r>
        <w:rPr>
          <w:rFonts w:ascii="Times New Roman" w:hAnsi="Times New Roman"/>
          <w:b w:val="0"/>
          <w:i w:val="0"/>
          <w:sz w:val="24"/>
        </w:rPr>
        <w:t>La plataforma está compuesta por seis (6) módulos funcionales integrados:</w:t>
      </w:r>
    </w:p>
    <w:p>
      <w:pPr>
        <w:jc w:val="both"/>
        <w:spacing w:line="360" w:lineRule="auto" w:after="120" w:before="0"/>
        <w:ind w:firstLine="720" w:left="0"/>
      </w:pPr>
      <w:r/>
      <w:r>
        <w:rPr>
          <w:rFonts w:ascii="Times New Roman" w:hAnsi="Times New Roman"/>
          <w:b w:val="0"/>
          <w:i w:val="0"/>
          <w:sz w:val="24"/>
        </w:rPr>
        <w:t>Módulo I: Control de Acceso y Gestión de Perfiles. Valida la identidad del operador mediante correo y contraseña. Restringe las opciones del menú según el rol asignado (el Cajero visualiza únicamente operaciones de caja y registro; el Administrador y Gerente acceden a auditorías, configuración de tasas y reportes consolidados).</w:t>
      </w:r>
    </w:p>
    <w:p>
      <w:pPr>
        <w:jc w:val="both"/>
        <w:spacing w:line="360" w:lineRule="auto" w:after="120" w:before="0"/>
        <w:ind w:firstLine="720" w:left="0"/>
      </w:pPr>
      <w:r/>
      <w:r>
        <w:rPr>
          <w:rFonts w:ascii="Times New Roman" w:hAnsi="Times New Roman"/>
          <w:b w:val="0"/>
          <w:i w:val="0"/>
          <w:sz w:val="24"/>
        </w:rPr>
        <w:t>Módulo II: Gestión de Clientes. Permite la búsqueda rápida por cédula o nombre. Si el cliente existe, muestra su historial de boletas activas y nivel de cumplimiento crediticio; si es nuevo, habilita su registro inmediato en un formulario asistido.</w:t>
      </w:r>
    </w:p>
    <w:p>
      <w:pPr>
        <w:jc w:val="both"/>
        <w:spacing w:line="360" w:lineRule="auto" w:after="120" w:before="0"/>
        <w:ind w:firstLine="720" w:left="0"/>
      </w:pPr>
      <w:r/>
      <w:r>
        <w:rPr>
          <w:rFonts w:ascii="Times New Roman" w:hAnsi="Times New Roman"/>
          <w:b w:val="0"/>
          <w:i w:val="0"/>
          <w:sz w:val="24"/>
        </w:rPr>
        <w:t>Módulo III: Emisión de Préstamos Prendarios y Captura de Prenda. Asiste al operador en la tasación física de la prenda. Se ingresa el kilataje, peso neto y monto del préstamo. El operador genera un código QR que escanea desde su teléfono móvil para capturar fotografías de la joya, las cuales se adjuntan a la boleta. Al confirmar, el sistema genera el contrato de empeño en formato PDF tamaño Carta con su tabla de amortización y código QR de autenticidad.</w:t>
      </w:r>
    </w:p>
    <w:p>
      <w:pPr>
        <w:jc w:val="both"/>
        <w:spacing w:line="360" w:lineRule="auto" w:after="120" w:before="0"/>
        <w:ind w:firstLine="720" w:left="0"/>
      </w:pPr>
      <w:r/>
      <w:r>
        <w:rPr>
          <w:rFonts w:ascii="Times New Roman" w:hAnsi="Times New Roman"/>
          <w:b w:val="0"/>
          <w:i w:val="0"/>
          <w:sz w:val="24"/>
        </w:rPr>
        <w:t>Módulo IV: Renovaciones y Cancelación de Boletas. Permite al cliente prorrogar su contrato por 30 días pagando los intereses acumulados y comisiones de custodia. El sistema admite abonos a capital, recalculando automáticamente el nuevo saldo deudor y generando el recibo de renovación.</w:t>
      </w:r>
    </w:p>
    <w:p>
      <w:pPr>
        <w:jc w:val="both"/>
        <w:spacing w:line="360" w:lineRule="auto" w:after="120" w:before="0"/>
        <w:ind w:firstLine="720" w:left="0"/>
      </w:pPr>
      <w:r/>
      <w:r>
        <w:rPr>
          <w:rFonts w:ascii="Times New Roman" w:hAnsi="Times New Roman"/>
          <w:b w:val="0"/>
          <w:i w:val="0"/>
          <w:sz w:val="24"/>
        </w:rPr>
        <w:t>Módulo V: Compra de Oro y Plata en Tienda. Especializado en el avalúo de metales. El operador selecciona el tipo de metal y la ley (10k, 14k, 18k, 24k para oro; 925, 950 para plata), introduce el peso en la balanza y el sistema aplica la cotización del día para determinar los gramos puros equivalentes y el monto total en divisas o bolívares.</w:t>
      </w:r>
    </w:p>
    <w:p>
      <w:pPr>
        <w:jc w:val="both"/>
        <w:spacing w:line="360" w:lineRule="auto" w:after="120" w:before="0"/>
        <w:ind w:firstLine="720" w:left="0"/>
      </w:pPr>
      <w:r/>
      <w:r>
        <w:rPr>
          <w:rFonts w:ascii="Times New Roman" w:hAnsi="Times New Roman"/>
          <w:b w:val="0"/>
          <w:i w:val="0"/>
          <w:sz w:val="24"/>
        </w:rPr>
        <w:t>Módulo VI: Cierre de Caja y Reportes Financieros. Al final de la jornada laboral, el operador ejecuta el arqueo de caja. El sistema contrasta el dinero físico registrado (billetes en USD y bolívares en cuenta) con el saldo teórico derivado de todas las transacciones del día, emitiendo el comprobante de cierre de caja e informando al Gerente General de cualquier desviación.</w:t>
      </w:r>
    </w:p>
    <w:p>
      <w:pPr>
        <w:jc w:val="left"/>
        <w:spacing w:line="360" w:lineRule="auto" w:after="80" w:before="200"/>
        <w:ind w:firstLine="0" w:left="0"/>
      </w:pPr>
      <w:r/>
      <w:r>
        <w:rPr>
          <w:rFonts w:ascii="Times New Roman" w:hAnsi="Times New Roman"/>
          <w:b/>
          <w:i/>
          <w:sz w:val="24"/>
        </w:rPr>
        <w:t>Reglas de Negocio y Algoritmos Financieros</w:t>
      </w:r>
    </w:p>
    <w:p>
      <w:pPr>
        <w:jc w:val="both"/>
        <w:spacing w:line="360" w:lineRule="auto" w:after="120" w:before="0"/>
        <w:ind w:firstLine="720" w:left="0"/>
      </w:pPr>
      <w:r/>
      <w:r>
        <w:rPr>
          <w:rFonts w:ascii="Times New Roman" w:hAnsi="Times New Roman"/>
          <w:b w:val="0"/>
          <w:i w:val="0"/>
          <w:sz w:val="24"/>
        </w:rPr>
        <w:t>Para asegurar la exactitud matemática de las operaciones, el software incorpora las siguientes fórmulas parametrizadas:</w:t>
      </w:r>
    </w:p>
    <w:p>
      <w:pPr>
        <w:jc w:val="both"/>
        <w:spacing w:line="360" w:lineRule="auto" w:after="120" w:before="0"/>
        <w:ind w:firstLine="720" w:left="0"/>
      </w:pPr>
      <w:r/>
      <w:r>
        <w:rPr>
          <w:rFonts w:ascii="Times New Roman" w:hAnsi="Times New Roman"/>
          <w:b w:val="0"/>
          <w:i w:val="0"/>
          <w:sz w:val="24"/>
        </w:rPr>
        <w:t>1. Algoritmo de Préstamos Prendarios (Pacto de Retracto):</w:t>
      </w:r>
    </w:p>
    <w:p>
      <w:pPr>
        <w:jc w:val="both"/>
        <w:spacing w:line="360" w:lineRule="auto" w:after="120" w:before="0"/>
        <w:ind w:firstLine="720" w:left="0"/>
      </w:pPr>
      <w:r/>
      <w:r>
        <w:rPr>
          <w:rFonts w:ascii="Times New Roman" w:hAnsi="Times New Roman"/>
          <w:b w:val="0"/>
          <w:i w:val="0"/>
          <w:sz w:val="24"/>
        </w:rPr>
        <w:t>• Plazo contractual estándar: 30 días continuos con margen de gracia de 5 días hábiles.</w:t>
      </w:r>
    </w:p>
    <w:p>
      <w:pPr>
        <w:jc w:val="both"/>
        <w:spacing w:line="360" w:lineRule="auto" w:after="120" w:before="0"/>
        <w:ind w:firstLine="720" w:left="0"/>
      </w:pPr>
      <w:r/>
      <w:r>
        <w:rPr>
          <w:rFonts w:ascii="Times New Roman" w:hAnsi="Times New Roman"/>
          <w:b w:val="0"/>
          <w:i w:val="0"/>
          <w:sz w:val="24"/>
        </w:rPr>
        <w:t>• Interés del Ciclo: Interés = MontoCapital * (TasaInteres / 100).</w:t>
      </w:r>
    </w:p>
    <w:p>
      <w:pPr>
        <w:jc w:val="both"/>
        <w:spacing w:line="360" w:lineRule="auto" w:after="120" w:before="0"/>
        <w:ind w:firstLine="720" w:left="0"/>
      </w:pPr>
      <w:r/>
      <w:r>
        <w:rPr>
          <w:rFonts w:ascii="Times New Roman" w:hAnsi="Times New Roman"/>
          <w:b w:val="0"/>
          <w:i w:val="0"/>
          <w:sz w:val="24"/>
        </w:rPr>
        <w:t>• Comisión por Custodia y Bóveda: Custodia = MontoCapital * (TasaCustodia / 100).</w:t>
      </w:r>
    </w:p>
    <w:p>
      <w:pPr>
        <w:jc w:val="both"/>
        <w:spacing w:line="360" w:lineRule="auto" w:after="120" w:before="0"/>
        <w:ind w:firstLine="720" w:left="0"/>
      </w:pPr>
      <w:r/>
      <w:r>
        <w:rPr>
          <w:rFonts w:ascii="Times New Roman" w:hAnsi="Times New Roman"/>
          <w:b w:val="0"/>
          <w:i w:val="0"/>
          <w:sz w:val="24"/>
        </w:rPr>
        <w:t>• Interés Moratorio (en caso de superarse el período de gracia): Mora = MontoCapital * (TasaMora / 100) * (DiasMora / 30).</w:t>
      </w:r>
    </w:p>
    <w:p>
      <w:pPr>
        <w:jc w:val="both"/>
        <w:spacing w:line="360" w:lineRule="auto" w:after="120" w:before="0"/>
        <w:ind w:firstLine="720" w:left="0"/>
      </w:pPr>
      <w:r/>
      <w:r>
        <w:rPr>
          <w:rFonts w:ascii="Times New Roman" w:hAnsi="Times New Roman"/>
          <w:b w:val="0"/>
          <w:i w:val="0"/>
          <w:sz w:val="24"/>
        </w:rPr>
        <w:t>• Pago para Renovación: MontoPago = Interés + Custodia + Mora + AbonoCapital (Opcional).</w:t>
      </w:r>
    </w:p>
    <w:p>
      <w:pPr>
        <w:jc w:val="both"/>
        <w:spacing w:line="360" w:lineRule="auto" w:after="120" w:before="0"/>
        <w:ind w:firstLine="720" w:left="0"/>
      </w:pPr>
      <w:r/>
      <w:r>
        <w:rPr>
          <w:rFonts w:ascii="Times New Roman" w:hAnsi="Times New Roman"/>
          <w:b w:val="0"/>
          <w:i w:val="0"/>
          <w:sz w:val="24"/>
        </w:rPr>
        <w:t>• Nuevo Capital tras Abono: NuevoCapital = MontoCapital - AbonoCapital.</w:t>
      </w:r>
    </w:p>
    <w:p>
      <w:pPr>
        <w:jc w:val="both"/>
        <w:spacing w:line="360" w:lineRule="auto" w:after="120" w:before="0"/>
        <w:ind w:firstLine="720" w:left="0"/>
      </w:pPr>
      <w:r/>
      <w:r>
        <w:rPr>
          <w:rFonts w:ascii="Times New Roman" w:hAnsi="Times New Roman"/>
          <w:b w:val="0"/>
          <w:i w:val="0"/>
          <w:sz w:val="24"/>
        </w:rPr>
        <w:t>2. Algoritmo de Avalúo de Compra de Oro:</w:t>
      </w:r>
    </w:p>
    <w:p>
      <w:pPr>
        <w:jc w:val="both"/>
        <w:spacing w:line="360" w:lineRule="auto" w:after="120" w:before="0"/>
        <w:ind w:firstLine="720" w:left="0"/>
      </w:pPr>
      <w:r/>
      <w:r>
        <w:rPr>
          <w:rFonts w:ascii="Times New Roman" w:hAnsi="Times New Roman"/>
          <w:b w:val="0"/>
          <w:i w:val="0"/>
          <w:sz w:val="24"/>
        </w:rPr>
        <w:t>• Gramos Puros Equivalentes: GramosPuros = PesoBruto * (Kilataje / 24).</w:t>
      </w:r>
    </w:p>
    <w:p>
      <w:pPr>
        <w:jc w:val="both"/>
        <w:spacing w:line="360" w:lineRule="auto" w:after="120" w:before="0"/>
        <w:ind w:firstLine="720" w:left="0"/>
      </w:pPr>
      <w:r/>
      <w:r>
        <w:rPr>
          <w:rFonts w:ascii="Times New Roman" w:hAnsi="Times New Roman"/>
          <w:b w:val="0"/>
          <w:i w:val="0"/>
          <w:sz w:val="24"/>
        </w:rPr>
        <w:t>• Precio de Liquidación al Cliente: TotalPagar = PesoBruto * PrecioPorGramo(Kilataje).</w:t>
      </w:r>
    </w:p>
    <w:p>
      <w:pPr>
        <w:jc w:val="both"/>
        <w:spacing w:line="360" w:lineRule="auto" w:after="120" w:before="0"/>
        <w:ind w:firstLine="720" w:left="0"/>
      </w:pPr>
      <w:r/>
      <w:r>
        <w:rPr>
          <w:rFonts w:ascii="Times New Roman" w:hAnsi="Times New Roman"/>
          <w:b w:val="0"/>
          <w:i w:val="0"/>
          <w:sz w:val="24"/>
        </w:rPr>
        <w:t>• Margen de Ganancia de la Empresa: Ganancia = (GramosPuros * PrecioOroPuroMercado) - TotalPagar.</w:t>
      </w:r>
    </w:p>
    <w:p>
      <w:pPr>
        <w:jc w:val="left"/>
        <w:spacing w:line="360" w:lineRule="auto" w:after="80" w:before="200"/>
        <w:ind w:firstLine="0" w:left="0"/>
      </w:pPr>
      <w:r/>
      <w:r>
        <w:rPr>
          <w:rFonts w:ascii="Times New Roman" w:hAnsi="Times New Roman"/>
          <w:b/>
          <w:i/>
          <w:sz w:val="24"/>
        </w:rPr>
        <w:t>Guía Operativa para el Usuario (Manual de Operación)</w:t>
      </w:r>
    </w:p>
    <w:p>
      <w:pPr>
        <w:jc w:val="both"/>
        <w:spacing w:line="360" w:lineRule="auto" w:after="120" w:before="0"/>
        <w:ind w:firstLine="720" w:left="0"/>
      </w:pPr>
      <w:r/>
      <w:r>
        <w:rPr>
          <w:rFonts w:ascii="Times New Roman" w:hAnsi="Times New Roman"/>
          <w:b w:val="0"/>
          <w:i w:val="0"/>
          <w:sz w:val="24"/>
        </w:rPr>
        <w:t>Con el propósito de servir como manual operativo de referencia institucional, a continuación se describe el protocolo estándar de operación para los tres cargos de la empresa:</w:t>
      </w:r>
    </w:p>
    <w:p>
      <w:pPr>
        <w:jc w:val="both"/>
        <w:spacing w:line="360" w:lineRule="auto" w:after="120" w:before="0"/>
        <w:ind w:firstLine="720" w:left="0"/>
      </w:pPr>
      <w:r/>
      <w:r>
        <w:rPr>
          <w:rFonts w:ascii="Times New Roman" w:hAnsi="Times New Roman"/>
          <w:b w:val="0"/>
          <w:i w:val="0"/>
          <w:sz w:val="24"/>
        </w:rPr>
        <w:t>Paso 1. Inicio de Sesión y Apertura de Caja (Cajero / Operador): Al comenzar la jornada laboral, el operador ingresa al sistema con sus credenciales institucionales. El sistema solicita el arqueo de apertura, ingresando la cantidad de efectivo en divisas y bolívares en caja chica. Una vez confirmado, se habilita el módulo transaccional.</w:t>
      </w:r>
    </w:p>
    <w:p>
      <w:pPr>
        <w:jc w:val="both"/>
        <w:spacing w:line="360" w:lineRule="auto" w:after="120" w:before="0"/>
        <w:ind w:firstLine="720" w:left="0"/>
      </w:pPr>
      <w:r/>
      <w:r>
        <w:rPr>
          <w:rFonts w:ascii="Times New Roman" w:hAnsi="Times New Roman"/>
          <w:b w:val="0"/>
          <w:i w:val="0"/>
          <w:sz w:val="24"/>
        </w:rPr>
        <w:t>Paso 2. Emisión de Nuevo Empeño (Cajero / Operador): Ante un cliente que solicita un préstamo prendario, se ingresa su número de cédula en el módulo de clientes. Se detallan las características de la joya, su peso registrado en la balanza de precisión y el importe acordado. Se escanea el código QR de captura fotográfica para registrar la prenda. Se presiona el botón 'Emitir Boleta' y se imprime el contrato en formato carta por duplicado para firma del cliente.</w:t>
      </w:r>
    </w:p>
    <w:p>
      <w:pPr>
        <w:jc w:val="both"/>
        <w:spacing w:line="360" w:lineRule="auto" w:after="120" w:before="0"/>
        <w:ind w:firstLine="720" w:left="0"/>
      </w:pPr>
      <w:r/>
      <w:r>
        <w:rPr>
          <w:rFonts w:ascii="Times New Roman" w:hAnsi="Times New Roman"/>
          <w:b w:val="0"/>
          <w:i w:val="0"/>
          <w:sz w:val="24"/>
        </w:rPr>
        <w:t>Paso 3. Procesamiento de Renovación o Rescate (Cajero / Operador): Cuando el cliente acude a pagar, se introduce el número de boleta. El sistema muestra los intereses acumulados y el total a liquidar. El operador selecciona el método de pago (Efectivo USD, Punto de Venta o Transferencia) y confirma. Se imprime el comprobante de prórroga o el acta de finiquito y entrega de la prenda física.</w:t>
      </w:r>
    </w:p>
    <w:p>
      <w:pPr>
        <w:jc w:val="both"/>
        <w:spacing w:line="360" w:lineRule="auto" w:after="120" w:before="0"/>
        <w:ind w:firstLine="720" w:left="0"/>
      </w:pPr>
      <w:r/>
      <w:r>
        <w:rPr>
          <w:rFonts w:ascii="Times New Roman" w:hAnsi="Times New Roman"/>
          <w:b w:val="0"/>
          <w:i w:val="0"/>
          <w:sz w:val="24"/>
        </w:rPr>
        <w:t>Paso 4. Registro de Compra de Oro o Plata (Cajero / Operador): En el módulo de compras, se selecciona el metal y kilataje evaluado con piedra de toque y reactivo químico. Se coloca la pieza en la balanza digital y se digita el peso exacto. El sistema calcula el total a pagar según la cotización del día y descuenta el importe de la caja chica.</w:t>
      </w:r>
    </w:p>
    <w:p>
      <w:pPr>
        <w:jc w:val="both"/>
        <w:spacing w:line="360" w:lineRule="auto" w:after="120" w:before="0"/>
        <w:ind w:firstLine="720" w:left="0"/>
      </w:pPr>
      <w:r/>
      <w:r>
        <w:rPr>
          <w:rFonts w:ascii="Times New Roman" w:hAnsi="Times New Roman"/>
          <w:b w:val="0"/>
          <w:i w:val="0"/>
          <w:sz w:val="24"/>
        </w:rPr>
        <w:t>Paso 5. Cuadre y Cierre Diario de Caja (Cajero y Administrador): Al finalizar la tarde, el Cajero hace clic en 'Cierre de Caja'. Realiza el recuento físico de billetes y comprobantes y los ingresa en el formulario de arqueo. El sistema genera el Balance Diario consolidando entradas, salidas y descuadres. El Administrador y Gerente revisan y firman la conformidad del cierre.</w:t>
      </w:r>
    </w:p>
    <w:p>
      <w:pPr>
        <w:jc w:val="both"/>
        <w:spacing w:line="360" w:lineRule="auto" w:after="120" w:before="0"/>
        <w:ind w:firstLine="720" w:left="0"/>
      </w:pPr>
      <w:r/>
      <w:r>
        <w:rPr>
          <w:rFonts w:ascii="Times New Roman" w:hAnsi="Times New Roman"/>
          <w:b w:val="0"/>
          <w:i w:val="0"/>
          <w:sz w:val="24"/>
        </w:rPr>
        <w:t>Paso 6. Supervisión y Auditoría Gerencial (Gerente General): A través del panel administrativo, el Gerente monitorea los gráficos de liquidez, la cartera de préstamos por vencer y la bitácora de auditoría de usuarios, asegurando el control absoluto del negocio sin necesidad de estar físicamente en la sucursal.</w:t>
      </w:r>
    </w:p>
    <w:p>
      <w:pPr>
        <w:pStyle w:val="normal1"/>
        <w:spacing w:before="0" w:after="360"/>
        <w:jc w:val="center"/>
        <w:rPr/>
      </w:pPr>
      <w:r>
        <w:rPr>
          <w:rFonts w:eastAsia="Times New Roman" w:cs="Times New Roman" w:ascii="Times New Roman" w:hAnsi="Times New Roman"/>
          <w:b/>
          <w:sz w:val="24"/>
        </w:rPr>
        <w:t>REFERENCIAS</w:t>
      </w:r>
    </w:p>
    <w:p>
      <w:pPr>
        <w:pStyle w:val="normal1"/>
        <w:spacing w:lineRule="auto" w:line="360" w:before="0" w:after="120"/>
        <w:ind w:hanging="720" w:start="720"/>
        <w:jc w:val="start"/>
        <w:rPr/>
      </w:pPr>
      <w:r>
        <w:rPr>
          <w:rFonts w:eastAsia="Times New Roman" w:cs="Times New Roman" w:ascii="Times New Roman" w:hAnsi="Times New Roman"/>
          <w:sz w:val="24"/>
        </w:rPr>
        <w:t>Arias, F. (2012). El Proyecto de Investigación: Introducción a la Metodología Científica (6ta ed.). Editorial Episteme.</w:t>
      </w:r>
    </w:p>
    <w:p>
      <w:pPr>
        <w:pStyle w:val="normal1"/>
        <w:spacing w:lineRule="auto" w:line="360" w:before="0" w:after="120"/>
        <w:ind w:hanging="720" w:start="720"/>
        <w:jc w:val="start"/>
        <w:rPr/>
      </w:pPr>
      <w:r>
        <w:rPr>
          <w:rFonts w:eastAsia="Times New Roman" w:cs="Times New Roman" w:ascii="Times New Roman" w:hAnsi="Times New Roman"/>
          <w:sz w:val="24"/>
        </w:rPr>
        <w:t>Asamblea Nacional Constituyente. (1999). Constitución de la República Bolivariana de Venezuela. Gaceta Oficial de la República Bolivariana de Venezuela, 5.453 (Extraordinario), marzo 24, 2000.</w:t>
      </w:r>
    </w:p>
    <w:p>
      <w:pPr>
        <w:pStyle w:val="normal1"/>
        <w:spacing w:lineRule="auto" w:line="360" w:before="0" w:after="120"/>
        <w:ind w:hanging="720" w:start="720"/>
        <w:jc w:val="start"/>
        <w:rPr/>
      </w:pPr>
      <w:r>
        <w:rPr>
          <w:rFonts w:eastAsia="Times New Roman" w:cs="Times New Roman" w:ascii="Times New Roman" w:hAnsi="Times New Roman"/>
          <w:sz w:val="24"/>
        </w:rPr>
        <w:t>Asamblea Nacional de la República Bolivariana de Venezuela. (2001). Ley Especial Contra los Delitos Informáticos. Gaceta Oficial de la República Bolivariana de Venezuela, 37.313, octubre 30, 2001.</w:t>
      </w:r>
    </w:p>
    <w:p>
      <w:pPr>
        <w:pStyle w:val="normal1"/>
        <w:spacing w:lineRule="auto" w:line="360" w:before="0" w:after="120"/>
        <w:ind w:hanging="720" w:start="720"/>
        <w:jc w:val="start"/>
        <w:rPr/>
      </w:pPr>
      <w:r>
        <w:rPr>
          <w:rFonts w:eastAsia="Times New Roman" w:cs="Times New Roman" w:ascii="Times New Roman" w:hAnsi="Times New Roman"/>
          <w:sz w:val="24"/>
        </w:rPr>
        <w:t>Colina, J. (2024). Automatización de procesos de facturación y control de préstamos prendarios. Trabajo de Grado no publicado. Universidad Alejandro de Humboldt, Caracas.</w:t>
      </w:r>
    </w:p>
    <w:p>
      <w:pPr>
        <w:pStyle w:val="normal1"/>
        <w:spacing w:lineRule="auto" w:line="360" w:before="0" w:after="120"/>
        <w:ind w:hanging="720" w:start="720"/>
        <w:jc w:val="start"/>
        <w:rPr/>
      </w:pPr>
      <w:r>
        <w:rPr>
          <w:rFonts w:eastAsia="Times New Roman" w:cs="Times New Roman" w:ascii="Times New Roman" w:hAnsi="Times New Roman"/>
          <w:sz w:val="24"/>
        </w:rPr>
        <w:t>Congreso de la República de Venezuela. (1955). Código de Comercio. Gaceta Oficial de la República de Venezuela, 475 (Extraordinario), diciembre 21, 1955.</w:t>
      </w:r>
    </w:p>
    <w:p>
      <w:pPr>
        <w:pStyle w:val="normal1"/>
        <w:spacing w:lineRule="auto" w:line="360" w:before="0" w:after="120"/>
        <w:ind w:hanging="720" w:start="720"/>
        <w:jc w:val="start"/>
        <w:rPr/>
      </w:pPr>
      <w:r>
        <w:rPr>
          <w:rFonts w:eastAsia="Times New Roman" w:cs="Times New Roman" w:ascii="Times New Roman" w:hAnsi="Times New Roman"/>
          <w:sz w:val="24"/>
        </w:rPr>
        <w:t>Date, C. J. (2004). Introducción a los Sistemas de Bases de Datos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Kendall, K. E., y Kendall, J. E. (2011). Análisis y diseño de sistemas (8va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Laudon, K., y Laudon, J. (2012). Sistemas de Información Gerencial (12da ed.). Pearson Educación.</w:t>
      </w:r>
    </w:p>
    <w:p>
      <w:pPr>
        <w:pStyle w:val="normal1"/>
        <w:spacing w:lineRule="auto" w:line="360" w:before="0" w:after="120"/>
        <w:ind w:hanging="720" w:start="720"/>
        <w:jc w:val="start"/>
        <w:rPr/>
      </w:pPr>
      <w:r>
        <w:rPr>
          <w:rFonts w:eastAsia="Times New Roman" w:cs="Times New Roman" w:ascii="Times New Roman" w:hAnsi="Times New Roman"/>
          <w:sz w:val="24"/>
        </w:rPr>
        <w:t>Martínez, A. (2025). Sistema de información para la gestión administrativa y control de inventarios. Trabajo de Grado no publicado. Colegio Universitario de Administración y Mercadeo, Extensión Caracas.</w:t>
      </w:r>
    </w:p>
    <w:p>
      <w:pPr>
        <w:pStyle w:val="normal1"/>
        <w:spacing w:lineRule="auto" w:line="360" w:before="0" w:after="120"/>
        <w:ind w:hanging="720" w:start="720"/>
        <w:jc w:val="start"/>
        <w:rPr/>
      </w:pPr>
      <w:r>
        <w:rPr>
          <w:rFonts w:eastAsia="Times New Roman" w:cs="Times New Roman" w:ascii="Times New Roman" w:hAnsi="Times New Roman"/>
          <w:sz w:val="24"/>
        </w:rPr>
        <w:t>Naranjo, E. (2023). Centralización de información en base de datos para empresas de custodia y empeño. Trabajo de Grado no publicado. Instituto Universitario de Tecnología de Administración Industrial, Caracas.</w:t>
      </w:r>
    </w:p>
    <w:p>
      <w:pPr>
        <w:pStyle w:val="normal1"/>
        <w:spacing w:lineRule="auto" w:line="360" w:before="0" w:after="120"/>
        <w:ind w:hanging="720" w:start="720"/>
        <w:jc w:val="start"/>
        <w:rPr/>
      </w:pPr>
      <w:r>
        <w:rPr>
          <w:rFonts w:eastAsia="Times New Roman" w:cs="Times New Roman" w:ascii="Times New Roman" w:hAnsi="Times New Roman"/>
          <w:sz w:val="24"/>
        </w:rPr>
        <w:t>Presidencia de la República Bolivariana de Venezuela. (2026). Ley Orgánica de Minas. Gaceta Oficial de la República Bolivariana de Venezuela, 6.802 (Extraordinario), abril 15, 2026.</w:t>
      </w:r>
    </w:p>
    <w:p>
      <w:pPr>
        <w:pStyle w:val="normal1"/>
        <w:spacing w:lineRule="auto" w:line="360" w:before="0" w:after="120"/>
        <w:ind w:hanging="720" w:start="720"/>
        <w:jc w:val="start"/>
        <w:rPr/>
      </w:pPr>
      <w:r>
        <w:rPr>
          <w:rFonts w:eastAsia="Times New Roman" w:cs="Times New Roman" w:ascii="Times New Roman" w:hAnsi="Times New Roman"/>
          <w:sz w:val="24"/>
        </w:rPr>
        <w:t>Pressman, R. (2010). Ingeniería del Software: Un Enfoque Práctico (7ma ed.). McGraw-Hill.</w:t>
      </w:r>
    </w:p>
    <w:p>
      <w:pPr>
        <w:pStyle w:val="normal1"/>
        <w:spacing w:lineRule="auto" w:line="360" w:before="0" w:after="120"/>
        <w:ind w:hanging="720" w:start="720"/>
        <w:jc w:val="start"/>
        <w:rPr/>
      </w:pPr>
      <w:r>
        <w:rPr>
          <w:rFonts w:eastAsia="Times New Roman" w:cs="Times New Roman" w:ascii="Times New Roman" w:hAnsi="Times New Roman"/>
          <w:sz w:val="24"/>
        </w:rPr>
        <w:t>Universidad Pedagógica Experimental Libertador (UPEL). (2016). Manual de Trabajos de Grado de Especialización y Maestría y Tesis Doctorales (5ta ed.). 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pic:cNvPicPr>
                            <a:picLocks noChangeAspect="1" noChangeArrowheads="1"/>
                          </pic:cNvPicPr>
                        </pic:nvPicPr>
                        <pic:blipFill>
                          <a:blip r:embed="rId20"/>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eastAsia="Times New Roman" w:cs="Times New Roman" w:ascii="Times New Roman" w:hAnsi="Times New Roman"/>
                <w:b/>
                <w:sz w:val="24"/>
              </w:rPr>
              <w:t>República Bolivariana de Venezuela</w:t>
              <w:br/>
              <w:t>Colegio Universitario de Administración y Mercadeo</w:t>
              <w:br/>
              <w:t>CUAM</w:t>
              <w:br/>
              <w:t>Extensión: Caracas</w:t>
            </w:r>
          </w:p>
        </w:tc>
      </w:tr>
    </w:tbl>
    <w:p>
      <w:pPr>
        <w:pStyle w:val="normal1"/>
        <w:spacing w:lineRule="auto" w:line="360"/>
        <w:ind w:firstLine="720"/>
        <w:jc w:val="both"/>
        <w:rPr/>
      </w:pPr>
      <w:r>
        <w:rPr>
          <w:rFonts w:ascii="Times New Roman" w:hAnsi="Times New Roman"/>
          <w:sz w:val="24"/>
        </w:rPr>
        <w:t>Caracas, Julio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pStyle w:val="normal1"/>
        <w:spacing w:before="240" w:after="40"/>
        <w:ind w:hanging="0" w:start="0"/>
        <w:jc w:val="center"/>
        <w:rPr/>
      </w:pPr>
      <w:r>
        <w:rPr>
          <w:rFonts w:eastAsia="Times New Roman" w:cs="Times New Roman" w:ascii="Times New Roman" w:hAnsi="Times New Roman"/>
          <w:sz w:val="24"/>
        </w:rPr>
        <w:t>__________________________________</w:t>
      </w:r>
    </w:p>
    <w:p>
      <w:pPr>
        <w:pStyle w:val="normal1"/>
        <w:spacing w:lineRule="auto" w:line="360"/>
        <w:jc w:val="center"/>
        <w:rPr/>
      </w:pPr>
      <w:r>
        <w:rPr>
          <w:rFonts w:eastAsia="Times New Roman" w:cs="Times New Roman" w:ascii="Times New Roman" w:hAnsi="Times New Roman"/>
          <w:b/>
          <w:bCs/>
          <w:sz w:val="24"/>
          <w:szCs w:val="24"/>
        </w:rPr>
        <w:t>Br. Lenin Alvarado</w:t>
      </w:r>
    </w:p>
    <w:p>
      <w:pPr>
        <w:pStyle w:val="normal1"/>
        <w:spacing w:lineRule="auto" w:line="360"/>
        <w:jc w:val="center"/>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hanging="0" w:start="0"/>
        <w:jc w:val="start"/>
        <w:rPr/>
      </w:pPr>
      <w:r>
        <w:rPr>
          <w:rFonts w:eastAsia="Times New Roman" w:cs="Times New Roman" w:ascii="Times New Roman" w:hAnsi="Times New Roman"/>
          <w:b/>
          <w:i w:val="false"/>
          <w:sz w:val="24"/>
        </w:rPr>
        <w:t>DATOS DEL TRABAJADOR (Opcional):</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Lugar de Trabajo: Inversiones Más por tu Oro 17 C.A.</w:t>
      </w:r>
    </w:p>
    <w:p>
      <w:pPr>
        <w:pStyle w:val="Normal"/>
        <w:numPr>
          <w:ilvl w:val="0"/>
          <w:numId w:val="1"/>
        </w:numPr>
        <w:spacing w:lineRule="auto" w:line="360" w:before="0" w:after="120"/>
        <w:ind w:hanging="0" w:start="0"/>
        <w:jc w:val="start"/>
        <w:rPr/>
      </w:pPr>
      <w:r>
        <w:rPr>
          <w:rFonts w:eastAsia="Times New Roman" w:cs="Times New Roman" w:ascii="Times New Roman" w:hAnsi="Times New Roman"/>
          <w:b w:val="false"/>
          <w:i w:val="false"/>
          <w:sz w:val="24"/>
        </w:rPr>
        <w:t>Cargo que desempeña: ___________________________________</w:t>
      </w:r>
    </w:p>
    <w:p>
      <w:pPr>
        <w:pStyle w:val="Normal"/>
        <w:numPr>
          <w:ilvl w:val="0"/>
          <w:numId w:val="1"/>
        </w:numPr>
        <w:spacing w:lineRule="auto" w:line="360" w:before="0" w:after="240"/>
        <w:ind w:hanging="0" w:start="0"/>
        <w:jc w:val="start"/>
        <w:rPr/>
      </w:pPr>
      <w:r>
        <w:rPr>
          <w:rFonts w:eastAsia="Times New Roman" w:cs="Times New Roman" w:ascii="Times New Roman" w:hAnsi="Times New Roman"/>
          <w:b w:val="false"/>
          <w:i w:val="false"/>
          <w:sz w:val="24"/>
        </w:rPr>
        <w:t>Años de experiencia en el área: ___________________________</w:t>
      </w:r>
    </w:p>
    <w:p>
      <w:pPr>
        <w:pStyle w:val="Normal"/>
        <w:spacing w:lineRule="auto" w:line="360" w:before="120" w:after="240"/>
        <w:ind w:hanging="0" w:start="0"/>
        <w:jc w:val="start"/>
        <w:rPr/>
      </w:pPr>
      <w:r>
        <w:rPr>
          <w:rFonts w:eastAsia="Times New Roman" w:cs="Times New Roman" w:ascii="Times New Roman" w:hAnsi="Times New Roman"/>
          <w:b/>
          <w:i w:val="false"/>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7"/>
        <w:gridCol w:w="5203"/>
        <w:gridCol w:w="695"/>
        <w:gridCol w:w="705"/>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Indicador</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Pregunta</w:t>
            </w:r>
          </w:p>
        </w:tc>
        <w:tc>
          <w:tcPr>
            <w:tcW w:w="69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Sí</w:t>
            </w:r>
          </w:p>
        </w:tc>
        <w:tc>
          <w:tcPr>
            <w:tcW w:w="705"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4"/>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1</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Registro manual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¿Considera que el estado actual de los archivos de Excel permite la integración y cruce eficiente de los datos de la empresa?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2</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Tiempo respuesta</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¿El tiempo de respuesta manual afecta la productividad?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3</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Algoritmos cálculo</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¿Se han registrado discrepancias o inconsistencias en los cálculos de intereses y fechas de vencimiento bajo la modalidad manual?</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4</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Seguridad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¿Dispone la empresa de mecanismos automatizados de respaldo para proteger la información frente a fallos del sistema o sobreescrituras?</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5</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Esquema de BD</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fundamental un sistema centralizado para la trazabilidad?</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6</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Prototipo visual</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¿Deben las interfaces ser intuitivas para facilitar el uso?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7</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Reportes generados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¿Requiere reportes administrativos automáticos para gerencia?</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8</w:t>
            </w:r>
          </w:p>
        </w:tc>
        <w:tc>
          <w:tcPr>
            <w:tcW w:w="1997"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4"/>
                <w:szCs w:val="20"/>
              </w:rPr>
              <w:t>Consultas exitosas</w:t>
            </w:r>
          </w:p>
        </w:tc>
        <w:tc>
          <w:tcPr>
            <w:tcW w:w="5203"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4"/>
                <w:szCs w:val="20"/>
              </w:rPr>
              <w:t>¿Es la automatización de consultas esencial para el flujo de trabajo?</w:t>
            </w:r>
          </w:p>
        </w:tc>
        <w:tc>
          <w:tcPr>
            <w:tcW w:w="69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5"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1"/>
        <w:spacing w:before="0" w:after="160"/>
        <w:jc w:val="center"/>
        <w:rPr>
          <w:rFonts w:ascii="Times New Roman" w:hAnsi="Times New Roman" w:eastAsia="Times New Roman" w:cs="Times New Roman"/>
          <w:b/>
          <w:sz w:val="24"/>
        </w:rPr>
      </w:pPr>
      <w:r>
        <w:rPr>
          <w:rFonts w:eastAsia="Times New Roman" w:cs="Times New Roman" w:ascii="Times New Roman" w:hAnsi="Times New Roman"/>
          <w:b/>
          <w:sz w:val="24"/>
        </w:rPr>
        <w:t>ANEXO B</w:t>
      </w:r>
    </w:p>
    <w:p>
      <w:pPr>
        <w:pStyle w:val="normal1"/>
        <w:jc w:val="center"/>
        <w:rPr/>
      </w:pPr>
      <w:r>
        <w:rPr>
          <w:rFonts w:eastAsia="Times New Roman" w:cs="Times New Roman" w:ascii="Times New Roman" w:hAnsi="Times New Roman"/>
          <w:b/>
          <w:sz w:val="24"/>
        </w:rPr>
        <w:t>Validación por Juicio de Expertos</w:t>
      </w:r>
    </w:p>
    <w:p>
      <w:pPr>
        <w:pStyle w:val="normal1"/>
        <w:jc w:val="center"/>
        <w:rPr/>
      </w:pPr>
      <w:r>
        <w:rPr/>
        <w:drawing>
          <wp:inline distT="0" distB="0" distL="0" distR="0">
            <wp:extent cx="5022850" cy="7108190"/>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noChangeArrowheads="1"/>
                    </pic:cNvPicPr>
                  </pic:nvPicPr>
                  <pic:blipFill>
                    <a:blip r:embed="rId21"/>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noChangeArrowheads="1"/>
                    </pic:cNvPicPr>
                  </pic:nvPicPr>
                  <pic:blipFill>
                    <a:blip r:embed="rId22"/>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noChangeArrowheads="1"/>
                    </pic:cNvPicPr>
                  </pic:nvPicPr>
                  <pic:blipFill>
                    <a:blip r:embed="rId23"/>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24"/>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
                    <pic:cNvPicPr>
                      <a:picLocks noChangeAspect="1" noChangeArrowheads="1"/>
                    </pic:cNvPicPr>
                  </pic:nvPicPr>
                  <pic:blipFill>
                    <a:blip r:embed="rId25"/>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noChangeArrowheads="1"/>
                    </pic:cNvPicPr>
                  </pic:nvPicPr>
                  <pic:blipFill>
                    <a:blip r:embed="rId26"/>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noChangeArrowheads="1"/>
                    </pic:cNvPicPr>
                  </pic:nvPicPr>
                  <pic:blipFill>
                    <a:blip r:embed="rId27"/>
                    <a:stretch>
                      <a:fillRect/>
                    </a:stretch>
                  </pic:blipFill>
                  <pic:spPr bwMode="auto">
                    <a:xfrm>
                      <a:off x="0" y="0"/>
                      <a:ext cx="5486400" cy="7764145"/>
                    </a:xfrm>
                    <a:prstGeom prst="rect">
                      <a:avLst/>
                    </a:prstGeom>
                    <a:noFill/>
                  </pic:spPr>
                </pic:pic>
              </a:graphicData>
            </a:graphic>
          </wp:inline>
        </w:drawing>
      </w:r>
    </w:p>
    <w:p>
      <w:pPr>
        <w:pStyle w:val="normal1"/>
        <w:jc w:val="center"/>
        <w:rPr/>
      </w:pPr>
      <w:r>
        <w:rP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252085" cy="7613015"/>
            <wp:effectExtent l="0" t="0" r="0" b="0"/>
            <wp:wrapSquare wrapText="largest"/>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28"/>
                    <a:stretch>
                      <a:fillRect/>
                    </a:stretch>
                  </pic:blipFill>
                  <pic:spPr bwMode="auto">
                    <a:xfrm>
                      <a:off x="0" y="0"/>
                      <a:ext cx="5252085" cy="7613015"/>
                    </a:xfrm>
                    <a:prstGeom prst="rect">
                      <a:avLst/>
                    </a:prstGeom>
                    <a:noFill/>
                  </pic:spPr>
                </pic:pic>
              </a:graphicData>
            </a:graphic>
          </wp:anchor>
        </w:drawing>
      </w:r>
    </w:p>
    <w:p>
      <w:pPr>
        <w:pStyle w:val="normal1"/>
        <w:jc w:val="center"/>
        <w:rPr/>
      </w:pPr>
      <w:r>
        <w:rPr/>
        <w:drawing>
          <wp:inline distT="0" distB="0" distL="0" distR="0">
            <wp:extent cx="5022850" cy="7108190"/>
            <wp:effectExtent l="0" t="0" r="0" b="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noChangeArrowheads="1"/>
                    </pic:cNvPicPr>
                  </pic:nvPicPr>
                  <pic:blipFill>
                    <a:blip r:embed="rId29"/>
                    <a:stretch>
                      <a:fillRect/>
                    </a:stretch>
                  </pic:blipFill>
                  <pic:spPr bwMode="auto">
                    <a:xfrm>
                      <a:off x="0" y="0"/>
                      <a:ext cx="5022850" cy="7108190"/>
                    </a:xfrm>
                    <a:prstGeom prst="rect">
                      <a:avLst/>
                    </a:prstGeom>
                    <a:noFill/>
                  </pic:spPr>
                </pic:pic>
              </a:graphicData>
            </a:graphic>
          </wp:inline>
        </w:drawing>
      </w:r>
    </w:p>
    <w:p>
      <w:pPr>
        <w:pStyle w:val="normal1"/>
        <w:jc w:val="center"/>
        <w:rPr/>
      </w:pPr>
      <w:r>
        <w:rPr/>
      </w:r>
    </w:p>
    <w:p>
      <w:pPr>
        <w:pStyle w:val="normal1"/>
        <w:jc w:val="center"/>
        <w:rPr/>
      </w:pPr>
      <w:r>
        <w:rPr/>
        <w:drawing>
          <wp:inline distT="0" distB="0" distL="0" distR="0">
            <wp:extent cx="5022850" cy="7108190"/>
            <wp:effectExtent l="0" t="0" r="0"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pic:cNvPicPr>
                      <a:picLocks noChangeAspect="1" noChangeArrowheads="1"/>
                    </pic:cNvPicPr>
                  </pic:nvPicPr>
                  <pic:blipFill>
                    <a:blip r:embed="rId30"/>
                    <a:stretch>
                      <a:fillRect/>
                    </a:stretch>
                  </pic:blipFill>
                  <pic:spPr bwMode="auto">
                    <a:xfrm>
                      <a:off x="0" y="0"/>
                      <a:ext cx="5022850" cy="7108190"/>
                    </a:xfrm>
                    <a:prstGeom prst="rect">
                      <a:avLst/>
                    </a:prstGeom>
                    <a:noFill/>
                  </pic:spPr>
                </pic:pic>
              </a:graphicData>
            </a:graphic>
          </wp:inline>
        </w:drawing>
      </w:r>
    </w:p>
    <w:p>
      <w:pPr>
        <w:pStyle w:val="normal1"/>
        <w:jc w:val="center"/>
        <w:rPr/>
      </w:pPr>
      <w:r>
        <w:rPr/>
        <w:drawing>
          <wp:inline distT="0" distB="0" distL="0" distR="0">
            <wp:extent cx="5486400" cy="7764145"/>
            <wp:effectExtent l="0" t="0" r="0" b="0"/>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noChangeArrowheads="1"/>
                    </pic:cNvPicPr>
                  </pic:nvPicPr>
                  <pic:blipFill>
                    <a:blip r:embed="rId31"/>
                    <a:stretch>
                      <a:fillRect/>
                    </a:stretch>
                  </pic:blipFill>
                  <pic:spPr bwMode="auto">
                    <a:xfrm>
                      <a:off x="0" y="0"/>
                      <a:ext cx="5486400" cy="7764145"/>
                    </a:xfrm>
                    <a:prstGeom prst="rect">
                      <a:avLst/>
                    </a:prstGeom>
                    <a:noFill/>
                  </pic:spPr>
                </pic:pic>
              </a:graphicData>
            </a:graphic>
          </wp:inline>
        </w:drawing>
      </w:r>
    </w:p>
    <w:p>
      <w:pPr>
        <w:pStyle w:val="normal1"/>
        <w:spacing w:before="0" w:after="160"/>
        <w:jc w:val="center"/>
        <w:rPr/>
      </w:pPr>
      <w:r>
        <w:rPr/>
        <w:drawing>
          <wp:inline distT="0" distB="0" distL="0" distR="0">
            <wp:extent cx="5486400" cy="7764145"/>
            <wp:effectExtent l="0" t="0" r="0" b="0"/>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noChangeArrowheads="1"/>
                    </pic:cNvPicPr>
                  </pic:nvPicPr>
                  <pic:blipFill>
                    <a:blip r:embed="rId32"/>
                    <a:stretch>
                      <a:fillRect/>
                    </a:stretch>
                  </pic:blipFill>
                  <pic:spPr bwMode="auto">
                    <a:xfrm>
                      <a:off x="0" y="0"/>
                      <a:ext cx="5486400" cy="7764145"/>
                    </a:xfrm>
                    <a:prstGeom prst="rect">
                      <a:avLst/>
                    </a:prstGeom>
                    <a:noFill/>
                  </pic:spPr>
                </pic:pic>
              </a:graphicData>
            </a:graphic>
          </wp:inline>
        </w:drawing>
      </w:r>
    </w:p>
    <w:sectPr>
      <w:headerReference w:type="even" r:id="rId33"/>
      <w:headerReference w:type="default" r:id="rId34"/>
      <w:headerReference w:type="first" r:id="rId35"/>
      <w:footerReference w:type="even" r:id="rId36"/>
      <w:footerReference w:type="default" r:id="rId37"/>
      <w:footerReference w:type="first" r:id="rId38"/>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ix</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center"/>
      <w:rPr/>
    </w:pPr>
    <w:r>
      <w:rPr/>
      <w:fldChar w:fldCharType="begin"/>
    </w:r>
    <w:r>
      <w:rPr/>
      <w:instrText xml:space="preserve"> PAGE </w:instrText>
    </w:r>
    <w:r>
      <w:rPr/>
      <w:fldChar w:fldCharType="separate"/>
    </w:r>
    <w:r>
      <w:rPr/>
      <w:t>49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5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3.png"/><Relationship Id="rId17" Type="http://schemas.openxmlformats.org/officeDocument/2006/relationships/image" Target="media/image3.png"/><Relationship Id="rId18" Type="http://schemas.openxmlformats.org/officeDocument/2006/relationships/image" Target="media/image3.png"/><Relationship Id="rId19" Type="http://schemas.openxmlformats.org/officeDocument/2006/relationships/image" Target="media/image3.png"/><Relationship Id="rId20" Type="http://schemas.openxmlformats.org/officeDocument/2006/relationships/image" Target="media/image5.jpe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jpe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header" Target="header4.xml"/><Relationship Id="rId34" Type="http://schemas.openxmlformats.org/officeDocument/2006/relationships/header" Target="header5.xml"/><Relationship Id="rId35" Type="http://schemas.openxmlformats.org/officeDocument/2006/relationships/header" Target="header6.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footer" Target="footer6.xml"/><Relationship Id="rId39" Type="http://schemas.openxmlformats.org/officeDocument/2006/relationships/numbering" Target="numbering.xml"/><Relationship Id="rId40" Type="http://schemas.openxmlformats.org/officeDocument/2006/relationships/fontTable" Target="fontTable.xml"/><Relationship Id="rId41" Type="http://schemas.openxmlformats.org/officeDocument/2006/relationships/settings" Target="settings.xml"/><Relationship Id="rId4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22</TotalTime>
  <Application>LibreOffice/26.2.3.2$MacOSX_AARCH64 LibreOffice_project/70e089b17412e4cb7773e41413306b17a2328c34</Application>
  <AppVersion>15.0000</AppVersion>
  <Pages>59</Pages>
  <Words>8852</Words>
  <Characters>52069</Characters>
  <CharactersWithSpaces>60666</CharactersWithSpaces>
  <Paragraphs>479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2026-10-06T17:31:52Z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