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93E" w:rsidRPr="006518BF" w:rsidRDefault="0063549C" w:rsidP="006518BF">
      <w:pPr>
        <w:spacing w:after="0" w:line="259" w:lineRule="auto"/>
        <w:ind w:left="3541" w:right="0" w:firstLine="0"/>
        <w:rPr>
          <w:rFonts w:ascii="Times New Roman" w:hAnsi="Times New Roman" w:cs="Times New Roman"/>
          <w:sz w:val="24"/>
          <w:szCs w:val="24"/>
        </w:rPr>
      </w:pPr>
      <w:r w:rsidRPr="006518BF">
        <w:rPr>
          <w:rFonts w:ascii="Times New Roman" w:eastAsia="Calibri" w:hAnsi="Times New Roman" w:cs="Times New Roman"/>
          <w:noProof/>
          <w:sz w:val="24"/>
          <w:szCs w:val="24"/>
        </w:rPr>
        <mc:AlternateContent>
          <mc:Choice Requires="wpg">
            <w:drawing>
              <wp:inline distT="0" distB="0" distL="0" distR="0">
                <wp:extent cx="1503045" cy="1343660"/>
                <wp:effectExtent l="0" t="0" r="0" b="0"/>
                <wp:docPr id="20397" name="Group 20397"/>
                <wp:cNvGraphicFramePr/>
                <a:graphic xmlns:a="http://schemas.openxmlformats.org/drawingml/2006/main">
                  <a:graphicData uri="http://schemas.microsoft.com/office/word/2010/wordprocessingGroup">
                    <wpg:wgp>
                      <wpg:cNvGrpSpPr/>
                      <wpg:grpSpPr>
                        <a:xfrm>
                          <a:off x="0" y="0"/>
                          <a:ext cx="1503045" cy="1343660"/>
                          <a:chOff x="0" y="0"/>
                          <a:chExt cx="1503045" cy="1343660"/>
                        </a:xfrm>
                      </wpg:grpSpPr>
                      <wps:wsp>
                        <wps:cNvPr id="11" name="Rectangle 11"/>
                        <wps:cNvSpPr/>
                        <wps:spPr>
                          <a:xfrm>
                            <a:off x="38481" y="505799"/>
                            <a:ext cx="59119" cy="216845"/>
                          </a:xfrm>
                          <a:prstGeom prst="rect">
                            <a:avLst/>
                          </a:prstGeom>
                          <a:ln>
                            <a:noFill/>
                          </a:ln>
                        </wps:spPr>
                        <wps:txbx>
                          <w:txbxContent>
                            <w:p w:rsidR="0073793E" w:rsidRDefault="0063549C">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2" name="Rectangle 12"/>
                        <wps:cNvSpPr/>
                        <wps:spPr>
                          <a:xfrm>
                            <a:off x="38481" y="782913"/>
                            <a:ext cx="59119" cy="216845"/>
                          </a:xfrm>
                          <a:prstGeom prst="rect">
                            <a:avLst/>
                          </a:prstGeom>
                          <a:ln>
                            <a:noFill/>
                          </a:ln>
                        </wps:spPr>
                        <wps:txbx>
                          <w:txbxContent>
                            <w:p w:rsidR="0073793E" w:rsidRDefault="0063549C">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3" name="Rectangle 13"/>
                        <wps:cNvSpPr/>
                        <wps:spPr>
                          <a:xfrm>
                            <a:off x="38481" y="1059773"/>
                            <a:ext cx="59119" cy="216845"/>
                          </a:xfrm>
                          <a:prstGeom prst="rect">
                            <a:avLst/>
                          </a:prstGeom>
                          <a:ln>
                            <a:noFill/>
                          </a:ln>
                        </wps:spPr>
                        <wps:txbx>
                          <w:txbxContent>
                            <w:p w:rsidR="0073793E" w:rsidRDefault="0063549C">
                              <w:pPr>
                                <w:spacing w:after="160" w:line="259" w:lineRule="auto"/>
                                <w:ind w:left="0" w:righ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7"/>
                          <a:stretch>
                            <a:fillRect/>
                          </a:stretch>
                        </pic:blipFill>
                        <pic:spPr>
                          <a:xfrm>
                            <a:off x="0" y="0"/>
                            <a:ext cx="1503045" cy="1343660"/>
                          </a:xfrm>
                          <a:prstGeom prst="rect">
                            <a:avLst/>
                          </a:prstGeom>
                        </pic:spPr>
                      </pic:pic>
                    </wpg:wgp>
                  </a:graphicData>
                </a:graphic>
              </wp:inline>
            </w:drawing>
          </mc:Choice>
          <mc:Fallback xmlns:a="http://schemas.openxmlformats.org/drawingml/2006/main">
            <w:pict>
              <v:group id="Group 20397" style="width:118.35pt;height:105.8pt;mso-position-horizontal-relative:char;mso-position-vertical-relative:line" coordsize="15030,13436">
                <v:rect id="Rectangle 11" style="position:absolute;width:591;height:2168;left:384;top:5057;" filled="f" stroked="f">
                  <v:textbox inset="0,0,0,0">
                    <w:txbxContent>
                      <w:p>
                        <w:pPr>
                          <w:spacing w:before="0" w:after="160" w:line="259" w:lineRule="auto"/>
                          <w:ind w:left="0" w:right="0" w:firstLine="0"/>
                          <w:jc w:val="left"/>
                        </w:pPr>
                        <w:r>
                          <w:rPr>
                            <w:rFonts w:cs="Garamond" w:hAnsi="Garamond" w:eastAsia="Garamond" w:ascii="Garamond"/>
                            <w:b w:val="1"/>
                            <w:sz w:val="28"/>
                          </w:rPr>
                          <w:t xml:space="preserve"> </w:t>
                        </w:r>
                      </w:p>
                    </w:txbxContent>
                  </v:textbox>
                </v:rect>
                <v:rect id="Rectangle 12" style="position:absolute;width:591;height:2168;left:384;top:7829;" filled="f" stroked="f">
                  <v:textbox inset="0,0,0,0">
                    <w:txbxContent>
                      <w:p>
                        <w:pPr>
                          <w:spacing w:before="0" w:after="160" w:line="259" w:lineRule="auto"/>
                          <w:ind w:left="0" w:right="0" w:firstLine="0"/>
                          <w:jc w:val="left"/>
                        </w:pPr>
                        <w:r>
                          <w:rPr>
                            <w:rFonts w:cs="Garamond" w:hAnsi="Garamond" w:eastAsia="Garamond" w:ascii="Garamond"/>
                            <w:b w:val="1"/>
                            <w:sz w:val="28"/>
                          </w:rPr>
                          <w:t xml:space="preserve"> </w:t>
                        </w:r>
                      </w:p>
                    </w:txbxContent>
                  </v:textbox>
                </v:rect>
                <v:rect id="Rectangle 13" style="position:absolute;width:591;height:2168;left:384;top:10597;" filled="f" stroked="f">
                  <v:textbox inset="0,0,0,0">
                    <w:txbxContent>
                      <w:p>
                        <w:pPr>
                          <w:spacing w:before="0" w:after="160" w:line="259" w:lineRule="auto"/>
                          <w:ind w:left="0" w:right="0" w:firstLine="0"/>
                          <w:jc w:val="left"/>
                        </w:pPr>
                        <w:r>
                          <w:rPr>
                            <w:rFonts w:cs="Garamond" w:hAnsi="Garamond" w:eastAsia="Garamond" w:ascii="Garamond"/>
                            <w:b w:val="1"/>
                            <w:sz w:val="28"/>
                          </w:rPr>
                          <w:t xml:space="preserve"> </w:t>
                        </w:r>
                      </w:p>
                    </w:txbxContent>
                  </v:textbox>
                </v:rect>
                <v:shape id="Picture 58" style="position:absolute;width:15030;height:13436;left:0;top:0;" filled="f">
                  <v:imagedata r:id="rId8"/>
                </v:shape>
              </v:group>
            </w:pict>
          </mc:Fallback>
        </mc:AlternateContent>
      </w:r>
    </w:p>
    <w:p w:rsidR="006518BF" w:rsidRDefault="006518BF" w:rsidP="006518BF">
      <w:pPr>
        <w:spacing w:after="88" w:line="259" w:lineRule="auto"/>
        <w:ind w:left="0" w:right="6" w:firstLine="0"/>
        <w:jc w:val="center"/>
        <w:rPr>
          <w:rFonts w:ascii="Times New Roman" w:hAnsi="Times New Roman" w:cs="Times New Roman"/>
          <w:b/>
          <w:sz w:val="24"/>
          <w:szCs w:val="24"/>
        </w:rPr>
      </w:pPr>
    </w:p>
    <w:p w:rsidR="0073793E" w:rsidRPr="006518BF" w:rsidRDefault="006518BF" w:rsidP="006518BF">
      <w:pPr>
        <w:spacing w:after="88" w:line="259" w:lineRule="auto"/>
        <w:ind w:left="0" w:right="6" w:firstLine="0"/>
        <w:rPr>
          <w:rFonts w:ascii="Times New Roman" w:hAnsi="Times New Roman" w:cs="Times New Roman"/>
          <w:sz w:val="24"/>
          <w:szCs w:val="24"/>
        </w:rPr>
      </w:pPr>
      <w:r>
        <w:rPr>
          <w:rFonts w:ascii="Times New Roman" w:hAnsi="Times New Roman" w:cs="Times New Roman"/>
          <w:b/>
          <w:sz w:val="24"/>
          <w:szCs w:val="24"/>
        </w:rPr>
        <w:t xml:space="preserve">                                                           </w:t>
      </w:r>
      <w:r w:rsidR="0063549C" w:rsidRPr="006518BF">
        <w:rPr>
          <w:rFonts w:ascii="Times New Roman" w:hAnsi="Times New Roman" w:cs="Times New Roman"/>
          <w:b/>
          <w:sz w:val="24"/>
          <w:szCs w:val="24"/>
        </w:rPr>
        <w:t>REPUBLIC OF KENYA</w:t>
      </w:r>
    </w:p>
    <w:p w:rsidR="0073793E" w:rsidRPr="006518BF" w:rsidRDefault="006518BF" w:rsidP="006518BF">
      <w:pPr>
        <w:spacing w:after="88" w:line="259" w:lineRule="auto"/>
        <w:ind w:left="0" w:right="0" w:firstLine="0"/>
        <w:rPr>
          <w:rFonts w:ascii="Times New Roman" w:hAnsi="Times New Roman" w:cs="Times New Roman"/>
          <w:sz w:val="24"/>
          <w:szCs w:val="24"/>
        </w:rPr>
      </w:pPr>
      <w:r>
        <w:rPr>
          <w:rFonts w:ascii="Times New Roman" w:hAnsi="Times New Roman" w:cs="Times New Roman"/>
          <w:b/>
          <w:sz w:val="24"/>
          <w:szCs w:val="24"/>
        </w:rPr>
        <w:t xml:space="preserve">                                          </w:t>
      </w:r>
      <w:r w:rsidR="0063549C" w:rsidRPr="006518BF">
        <w:rPr>
          <w:rFonts w:ascii="Times New Roman" w:hAnsi="Times New Roman" w:cs="Times New Roman"/>
          <w:b/>
          <w:sz w:val="24"/>
          <w:szCs w:val="24"/>
        </w:rPr>
        <w:t>COUNTY GOVERNMENT OF KAJIADO</w:t>
      </w:r>
    </w:p>
    <w:p w:rsidR="0073793E" w:rsidRPr="006518BF" w:rsidRDefault="0073793E" w:rsidP="006518BF">
      <w:pPr>
        <w:spacing w:after="52" w:line="259" w:lineRule="auto"/>
        <w:ind w:left="0" w:right="777" w:firstLine="0"/>
        <w:jc w:val="center"/>
        <w:rPr>
          <w:rFonts w:ascii="Times New Roman" w:hAnsi="Times New Roman" w:cs="Times New Roman"/>
          <w:sz w:val="24"/>
          <w:szCs w:val="24"/>
        </w:rPr>
      </w:pPr>
    </w:p>
    <w:p w:rsidR="0073793E" w:rsidRPr="006518BF" w:rsidRDefault="0073793E" w:rsidP="006518BF">
      <w:pPr>
        <w:spacing w:after="89" w:line="259" w:lineRule="auto"/>
        <w:ind w:left="0" w:right="2036" w:firstLine="0"/>
        <w:rPr>
          <w:rFonts w:ascii="Times New Roman" w:hAnsi="Times New Roman" w:cs="Times New Roman"/>
          <w:sz w:val="24"/>
          <w:szCs w:val="24"/>
        </w:rPr>
      </w:pPr>
    </w:p>
    <w:p w:rsidR="0073793E" w:rsidRPr="006518BF" w:rsidRDefault="006518BF" w:rsidP="006518BF">
      <w:pPr>
        <w:spacing w:after="161" w:line="259" w:lineRule="auto"/>
        <w:ind w:left="0" w:right="0" w:firstLine="0"/>
        <w:rPr>
          <w:rFonts w:ascii="Times New Roman" w:hAnsi="Times New Roman" w:cs="Times New Roman"/>
          <w:sz w:val="24"/>
          <w:szCs w:val="24"/>
        </w:rPr>
      </w:pPr>
      <w:r>
        <w:rPr>
          <w:rFonts w:ascii="Times New Roman" w:hAnsi="Times New Roman" w:cs="Times New Roman"/>
          <w:sz w:val="24"/>
          <w:szCs w:val="24"/>
        </w:rPr>
        <w:t xml:space="preserve">                                          </w:t>
      </w:r>
      <w:r w:rsidR="0063549C" w:rsidRPr="006518BF">
        <w:rPr>
          <w:rFonts w:ascii="Times New Roman" w:hAnsi="Times New Roman" w:cs="Times New Roman"/>
          <w:b/>
          <w:sz w:val="24"/>
          <w:szCs w:val="24"/>
        </w:rPr>
        <w:t>INTEGRATED STRATEGIC URBAN</w:t>
      </w:r>
    </w:p>
    <w:p w:rsidR="0073793E" w:rsidRPr="006518BF" w:rsidRDefault="006518BF" w:rsidP="006518BF">
      <w:pPr>
        <w:spacing w:after="91" w:line="259" w:lineRule="auto"/>
        <w:ind w:left="0" w:right="1178" w:firstLine="0"/>
        <w:jc w:val="center"/>
        <w:rPr>
          <w:rFonts w:ascii="Times New Roman" w:hAnsi="Times New Roman" w:cs="Times New Roman"/>
          <w:sz w:val="24"/>
          <w:szCs w:val="24"/>
        </w:rPr>
      </w:pPr>
      <w:r>
        <w:rPr>
          <w:rFonts w:ascii="Times New Roman" w:hAnsi="Times New Roman" w:cs="Times New Roman"/>
          <w:b/>
          <w:sz w:val="24"/>
          <w:szCs w:val="24"/>
        </w:rPr>
        <w:t xml:space="preserve">                </w:t>
      </w:r>
      <w:r w:rsidR="0063549C" w:rsidRPr="006518BF">
        <w:rPr>
          <w:rFonts w:ascii="Times New Roman" w:hAnsi="Times New Roman" w:cs="Times New Roman"/>
          <w:b/>
          <w:sz w:val="24"/>
          <w:szCs w:val="24"/>
        </w:rPr>
        <w:t>DEVELOPMENT PLAN ISUDP (2019-2028)</w:t>
      </w:r>
    </w:p>
    <w:p w:rsidR="0073793E" w:rsidRPr="006518BF" w:rsidRDefault="0073793E" w:rsidP="006518BF">
      <w:pPr>
        <w:spacing w:after="93" w:line="259" w:lineRule="auto"/>
        <w:ind w:left="0" w:right="2036" w:firstLine="0"/>
        <w:jc w:val="center"/>
        <w:rPr>
          <w:rFonts w:ascii="Times New Roman" w:hAnsi="Times New Roman" w:cs="Times New Roman"/>
          <w:sz w:val="24"/>
          <w:szCs w:val="24"/>
        </w:rPr>
      </w:pPr>
    </w:p>
    <w:p w:rsidR="0073793E" w:rsidRPr="006518BF" w:rsidRDefault="0073793E" w:rsidP="006518BF">
      <w:pPr>
        <w:spacing w:after="93" w:line="259" w:lineRule="auto"/>
        <w:ind w:left="0" w:right="2036" w:firstLine="0"/>
        <w:jc w:val="center"/>
        <w:rPr>
          <w:rFonts w:ascii="Times New Roman" w:hAnsi="Times New Roman" w:cs="Times New Roman"/>
          <w:sz w:val="24"/>
          <w:szCs w:val="24"/>
        </w:rPr>
      </w:pPr>
    </w:p>
    <w:p w:rsidR="0073793E" w:rsidRPr="006518BF" w:rsidRDefault="006518BF" w:rsidP="006518BF">
      <w:pPr>
        <w:spacing w:after="161" w:line="259" w:lineRule="auto"/>
        <w:ind w:left="0" w:right="0" w:firstLine="0"/>
        <w:rPr>
          <w:rFonts w:ascii="Times New Roman" w:hAnsi="Times New Roman" w:cs="Times New Roman"/>
          <w:sz w:val="24"/>
          <w:szCs w:val="24"/>
        </w:rPr>
      </w:pPr>
      <w:r>
        <w:rPr>
          <w:rFonts w:ascii="Times New Roman" w:hAnsi="Times New Roman" w:cs="Times New Roman"/>
          <w:sz w:val="24"/>
          <w:szCs w:val="24"/>
        </w:rPr>
        <w:t xml:space="preserve">                                                    </w:t>
      </w:r>
      <w:r w:rsidR="0063549C" w:rsidRPr="006518BF">
        <w:rPr>
          <w:rFonts w:ascii="Times New Roman" w:hAnsi="Times New Roman" w:cs="Times New Roman"/>
          <w:b/>
          <w:sz w:val="24"/>
          <w:szCs w:val="24"/>
        </w:rPr>
        <w:t>NGONG MUNICIPALITY</w:t>
      </w:r>
    </w:p>
    <w:p w:rsidR="0073793E" w:rsidRPr="006518BF" w:rsidRDefault="006518BF" w:rsidP="006518BF">
      <w:pPr>
        <w:spacing w:after="95" w:line="259" w:lineRule="auto"/>
        <w:ind w:left="0" w:right="10" w:firstLine="0"/>
        <w:rPr>
          <w:rFonts w:ascii="Times New Roman" w:hAnsi="Times New Roman" w:cs="Times New Roman"/>
          <w:sz w:val="24"/>
          <w:szCs w:val="24"/>
        </w:rPr>
      </w:pPr>
      <w:r>
        <w:rPr>
          <w:rFonts w:ascii="Times New Roman" w:hAnsi="Times New Roman" w:cs="Times New Roman"/>
          <w:b/>
          <w:sz w:val="24"/>
          <w:szCs w:val="24"/>
        </w:rPr>
        <w:t xml:space="preserve">                                                          </w:t>
      </w:r>
      <w:r w:rsidR="0063549C" w:rsidRPr="006518BF">
        <w:rPr>
          <w:rFonts w:ascii="Times New Roman" w:hAnsi="Times New Roman" w:cs="Times New Roman"/>
          <w:b/>
          <w:sz w:val="24"/>
          <w:szCs w:val="24"/>
        </w:rPr>
        <w:t>KAJIADO COUNTY</w:t>
      </w:r>
    </w:p>
    <w:p w:rsidR="0073793E" w:rsidRPr="006518BF" w:rsidRDefault="0073793E" w:rsidP="006518BF">
      <w:pPr>
        <w:spacing w:after="93" w:line="259" w:lineRule="auto"/>
        <w:ind w:left="0" w:right="2036" w:firstLine="0"/>
        <w:jc w:val="center"/>
        <w:rPr>
          <w:rFonts w:ascii="Times New Roman" w:hAnsi="Times New Roman" w:cs="Times New Roman"/>
          <w:sz w:val="24"/>
          <w:szCs w:val="24"/>
        </w:rPr>
      </w:pPr>
    </w:p>
    <w:p w:rsidR="0073793E" w:rsidRPr="006518BF" w:rsidRDefault="006518BF" w:rsidP="006518BF">
      <w:pPr>
        <w:spacing w:after="198" w:line="259" w:lineRule="auto"/>
        <w:ind w:left="0" w:right="7" w:firstLine="0"/>
        <w:rPr>
          <w:rFonts w:ascii="Times New Roman" w:hAnsi="Times New Roman" w:cs="Times New Roman"/>
          <w:sz w:val="24"/>
          <w:szCs w:val="24"/>
        </w:rPr>
      </w:pPr>
      <w:r>
        <w:rPr>
          <w:rFonts w:ascii="Times New Roman" w:hAnsi="Times New Roman" w:cs="Times New Roman"/>
          <w:sz w:val="24"/>
          <w:szCs w:val="24"/>
        </w:rPr>
        <w:t xml:space="preserve">                                                               </w:t>
      </w:r>
      <w:r w:rsidR="0063549C" w:rsidRPr="006518BF">
        <w:rPr>
          <w:rFonts w:ascii="Times New Roman" w:hAnsi="Times New Roman" w:cs="Times New Roman"/>
          <w:b/>
          <w:sz w:val="24"/>
          <w:szCs w:val="24"/>
        </w:rPr>
        <w:t>July 2019</w:t>
      </w:r>
    </w:p>
    <w:p w:rsidR="0073793E" w:rsidRPr="006518BF" w:rsidRDefault="0073793E" w:rsidP="006518BF">
      <w:pPr>
        <w:spacing w:after="0" w:line="259" w:lineRule="auto"/>
        <w:ind w:left="0" w:right="0" w:firstLine="0"/>
        <w:jc w:val="center"/>
        <w:rPr>
          <w:rFonts w:ascii="Times New Roman" w:hAnsi="Times New Roman" w:cs="Times New Roman"/>
          <w:sz w:val="24"/>
          <w:szCs w:val="24"/>
        </w:rPr>
      </w:pPr>
    </w:p>
    <w:p w:rsidR="006518BF" w:rsidRDefault="0063549C" w:rsidP="006518BF">
      <w:pPr>
        <w:pStyle w:val="Heading1"/>
        <w:spacing w:after="41"/>
        <w:ind w:left="-5" w:right="0"/>
        <w:jc w:val="center"/>
        <w:rPr>
          <w:rFonts w:ascii="Times New Roman" w:hAnsi="Times New Roman" w:cs="Times New Roman"/>
          <w:sz w:val="24"/>
          <w:szCs w:val="24"/>
        </w:rPr>
      </w:pPr>
      <w:r w:rsidRPr="006518BF">
        <w:rPr>
          <w:rFonts w:ascii="Times New Roman" w:hAnsi="Times New Roman" w:cs="Times New Roman"/>
          <w:sz w:val="24"/>
          <w:szCs w:val="24"/>
        </w:rPr>
        <w:t xml:space="preserve">EXECUTIVE SUMMARY </w:t>
      </w:r>
    </w:p>
    <w:p w:rsidR="0073793E" w:rsidRPr="006518BF" w:rsidRDefault="0063549C" w:rsidP="006518BF">
      <w:pPr>
        <w:pStyle w:val="Heading1"/>
        <w:spacing w:after="41"/>
        <w:ind w:left="-5" w:right="0"/>
        <w:jc w:val="center"/>
        <w:rPr>
          <w:rFonts w:ascii="Times New Roman" w:hAnsi="Times New Roman" w:cs="Times New Roman"/>
          <w:sz w:val="24"/>
          <w:szCs w:val="24"/>
        </w:rPr>
      </w:pPr>
      <w:r w:rsidRPr="006518BF">
        <w:rPr>
          <w:rFonts w:ascii="Times New Roman" w:hAnsi="Times New Roman" w:cs="Times New Roman"/>
          <w:sz w:val="24"/>
          <w:szCs w:val="24"/>
        </w:rPr>
        <w:t>Background</w:t>
      </w:r>
    </w:p>
    <w:p w:rsidR="0073793E" w:rsidRPr="006518BF" w:rsidRDefault="0063549C" w:rsidP="006518BF">
      <w:pPr>
        <w:spacing w:after="172"/>
        <w:ind w:left="-5" w:right="6"/>
        <w:rPr>
          <w:rFonts w:ascii="Times New Roman" w:hAnsi="Times New Roman" w:cs="Times New Roman"/>
          <w:sz w:val="24"/>
          <w:szCs w:val="24"/>
        </w:rPr>
      </w:pPr>
      <w:r w:rsidRPr="006518BF">
        <w:rPr>
          <w:rFonts w:ascii="Times New Roman" w:hAnsi="Times New Roman" w:cs="Times New Roman"/>
          <w:sz w:val="24"/>
          <w:szCs w:val="24"/>
        </w:rPr>
        <w:t xml:space="preserve">The preparation of the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Municipality Integrated Strategic Urban Development Plan (ISUDP) 2019 – 2028, meets a broader initiative that addresses key urban development issues in the three towns of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Ongata</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Rongai</w:t>
      </w:r>
      <w:proofErr w:type="spellEnd"/>
      <w:r w:rsidRPr="006518BF">
        <w:rPr>
          <w:rFonts w:ascii="Times New Roman" w:hAnsi="Times New Roman" w:cs="Times New Roman"/>
          <w:sz w:val="24"/>
          <w:szCs w:val="24"/>
        </w:rPr>
        <w:t xml:space="preserve"> and </w:t>
      </w:r>
      <w:proofErr w:type="spellStart"/>
      <w:r w:rsidRPr="006518BF">
        <w:rPr>
          <w:rFonts w:ascii="Times New Roman" w:hAnsi="Times New Roman" w:cs="Times New Roman"/>
          <w:sz w:val="24"/>
          <w:szCs w:val="24"/>
        </w:rPr>
        <w:t>Kiserian</w:t>
      </w:r>
      <w:proofErr w:type="spellEnd"/>
      <w:r w:rsidRPr="006518BF">
        <w:rPr>
          <w:rFonts w:ascii="Times New Roman" w:hAnsi="Times New Roman" w:cs="Times New Roman"/>
          <w:sz w:val="24"/>
          <w:szCs w:val="24"/>
        </w:rPr>
        <w:t xml:space="preserve">.  </w:t>
      </w:r>
    </w:p>
    <w:p w:rsidR="0073793E" w:rsidRPr="006518BF" w:rsidRDefault="0063549C" w:rsidP="006518BF">
      <w:pPr>
        <w:spacing w:after="168"/>
        <w:ind w:left="-5" w:right="6"/>
        <w:rPr>
          <w:rFonts w:ascii="Times New Roman" w:hAnsi="Times New Roman" w:cs="Times New Roman"/>
          <w:sz w:val="24"/>
          <w:szCs w:val="24"/>
        </w:rPr>
      </w:pPr>
      <w:r w:rsidRPr="006518BF">
        <w:rPr>
          <w:rFonts w:ascii="Times New Roman" w:hAnsi="Times New Roman" w:cs="Times New Roman"/>
          <w:sz w:val="24"/>
          <w:szCs w:val="24"/>
        </w:rPr>
        <w:t xml:space="preserve">This plan has been prepared by the County Government of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with technical support from Nairobi Metropolitan Service Improvement Project (</w:t>
      </w:r>
      <w:proofErr w:type="spellStart"/>
      <w:r w:rsidRPr="006518BF">
        <w:rPr>
          <w:rFonts w:ascii="Times New Roman" w:hAnsi="Times New Roman" w:cs="Times New Roman"/>
          <w:sz w:val="24"/>
          <w:szCs w:val="24"/>
        </w:rPr>
        <w:t>NaMSIP</w:t>
      </w:r>
      <w:proofErr w:type="spellEnd"/>
      <w:r w:rsidRPr="006518BF">
        <w:rPr>
          <w:rFonts w:ascii="Times New Roman" w:hAnsi="Times New Roman" w:cs="Times New Roman"/>
          <w:sz w:val="24"/>
          <w:szCs w:val="24"/>
        </w:rPr>
        <w:t>), the Ministry of Transport, Infrastructure, Public Works, Housing and Urban Development (</w:t>
      </w:r>
      <w:proofErr w:type="spellStart"/>
      <w:r w:rsidRPr="006518BF">
        <w:rPr>
          <w:rFonts w:ascii="Times New Roman" w:hAnsi="Times New Roman" w:cs="Times New Roman"/>
          <w:sz w:val="24"/>
          <w:szCs w:val="24"/>
        </w:rPr>
        <w:t>MoTIPWH&amp;UD</w:t>
      </w:r>
      <w:proofErr w:type="spellEnd"/>
      <w:r w:rsidRPr="006518BF">
        <w:rPr>
          <w:rFonts w:ascii="Times New Roman" w:hAnsi="Times New Roman" w:cs="Times New Roman"/>
          <w:sz w:val="24"/>
          <w:szCs w:val="24"/>
        </w:rPr>
        <w:t>), under the aegis of Directorate of Nairobi Metropolitan Development (</w:t>
      </w:r>
      <w:proofErr w:type="spellStart"/>
      <w:r w:rsidRPr="006518BF">
        <w:rPr>
          <w:rFonts w:ascii="Times New Roman" w:hAnsi="Times New Roman" w:cs="Times New Roman"/>
          <w:sz w:val="24"/>
          <w:szCs w:val="24"/>
        </w:rPr>
        <w:t>DoNMED</w:t>
      </w:r>
      <w:proofErr w:type="spellEnd"/>
      <w:r w:rsidRPr="006518BF">
        <w:rPr>
          <w:rFonts w:ascii="Times New Roman" w:hAnsi="Times New Roman" w:cs="Times New Roman"/>
          <w:sz w:val="24"/>
          <w:szCs w:val="24"/>
        </w:rPr>
        <w:t xml:space="preserve">), with financial support from the World Bank.  The consultant </w:t>
      </w:r>
      <w:proofErr w:type="spellStart"/>
      <w:r w:rsidRPr="006518BF">
        <w:rPr>
          <w:rFonts w:ascii="Times New Roman" w:hAnsi="Times New Roman" w:cs="Times New Roman"/>
          <w:sz w:val="24"/>
          <w:szCs w:val="24"/>
        </w:rPr>
        <w:t>VisionRI</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Connexion</w:t>
      </w:r>
      <w:proofErr w:type="spellEnd"/>
      <w:r w:rsidRPr="006518BF">
        <w:rPr>
          <w:rFonts w:ascii="Times New Roman" w:hAnsi="Times New Roman" w:cs="Times New Roman"/>
          <w:sz w:val="24"/>
          <w:szCs w:val="24"/>
        </w:rPr>
        <w:t xml:space="preserve"> Service Private Limited of India was commissioned by the </w:t>
      </w:r>
      <w:proofErr w:type="spellStart"/>
      <w:r w:rsidRPr="006518BF">
        <w:rPr>
          <w:rFonts w:ascii="Times New Roman" w:hAnsi="Times New Roman" w:cs="Times New Roman"/>
          <w:sz w:val="24"/>
          <w:szCs w:val="24"/>
        </w:rPr>
        <w:t>MoTIPWH&amp;UD</w:t>
      </w:r>
      <w:proofErr w:type="spellEnd"/>
      <w:r w:rsidRPr="006518BF">
        <w:rPr>
          <w:rFonts w:ascii="Times New Roman" w:hAnsi="Times New Roman" w:cs="Times New Roman"/>
          <w:sz w:val="24"/>
          <w:szCs w:val="24"/>
        </w:rPr>
        <w:t xml:space="preserve"> to provide consultancy services in the preparation of this plan.  </w:t>
      </w:r>
    </w:p>
    <w:p w:rsidR="0073793E" w:rsidRPr="006518BF" w:rsidRDefault="0063549C" w:rsidP="006518BF">
      <w:pPr>
        <w:spacing w:after="171"/>
        <w:ind w:left="-5" w:right="6"/>
        <w:rPr>
          <w:rFonts w:ascii="Times New Roman" w:hAnsi="Times New Roman" w:cs="Times New Roman"/>
          <w:sz w:val="24"/>
          <w:szCs w:val="24"/>
        </w:rPr>
      </w:pPr>
      <w:r w:rsidRPr="006518BF">
        <w:rPr>
          <w:rFonts w:ascii="Times New Roman" w:hAnsi="Times New Roman" w:cs="Times New Roman"/>
          <w:sz w:val="24"/>
          <w:szCs w:val="24"/>
        </w:rPr>
        <w:t xml:space="preserve">This plan is part of </w:t>
      </w:r>
      <w:proofErr w:type="spellStart"/>
      <w:r w:rsidRPr="006518BF">
        <w:rPr>
          <w:rFonts w:ascii="Times New Roman" w:hAnsi="Times New Roman" w:cs="Times New Roman"/>
          <w:sz w:val="24"/>
          <w:szCs w:val="24"/>
        </w:rPr>
        <w:t>NaMSIP</w:t>
      </w:r>
      <w:proofErr w:type="spellEnd"/>
      <w:r w:rsidRPr="006518BF">
        <w:rPr>
          <w:rFonts w:ascii="Times New Roman" w:hAnsi="Times New Roman" w:cs="Times New Roman"/>
          <w:sz w:val="24"/>
          <w:szCs w:val="24"/>
        </w:rPr>
        <w:t xml:space="preserve"> Component One (1) whose aim is to support towns within Nairobi Metropolitan Region in Institutional Reforms and Planning, dealing with infrastructure and governance capabilities in the metropolitan area. </w:t>
      </w:r>
    </w:p>
    <w:p w:rsidR="0073793E" w:rsidRPr="006518BF" w:rsidRDefault="0063549C" w:rsidP="006518BF">
      <w:pPr>
        <w:spacing w:after="224"/>
        <w:ind w:left="-5" w:right="6"/>
        <w:rPr>
          <w:rFonts w:ascii="Times New Roman" w:hAnsi="Times New Roman" w:cs="Times New Roman"/>
          <w:sz w:val="24"/>
          <w:szCs w:val="24"/>
        </w:rPr>
      </w:pPr>
      <w:r w:rsidRPr="006518BF">
        <w:rPr>
          <w:rFonts w:ascii="Times New Roman" w:hAnsi="Times New Roman" w:cs="Times New Roman"/>
          <w:sz w:val="24"/>
          <w:szCs w:val="24"/>
        </w:rPr>
        <w:t xml:space="preserve">It has been prepared through a participatory planning approach taking in to account consultative engagements of key stakeholders involving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Technical Working Group (CTWG), State Departments and agencies, private sector, local communities and their associations, the World Bank (WB) and </w:t>
      </w:r>
      <w:proofErr w:type="spellStart"/>
      <w:r w:rsidRPr="006518BF">
        <w:rPr>
          <w:rFonts w:ascii="Times New Roman" w:hAnsi="Times New Roman" w:cs="Times New Roman"/>
          <w:sz w:val="24"/>
          <w:szCs w:val="24"/>
        </w:rPr>
        <w:t>NaMISP</w:t>
      </w:r>
      <w:proofErr w:type="spellEnd"/>
      <w:r w:rsidRPr="006518BF">
        <w:rPr>
          <w:rFonts w:ascii="Times New Roman" w:hAnsi="Times New Roman" w:cs="Times New Roman"/>
          <w:sz w:val="24"/>
          <w:szCs w:val="24"/>
        </w:rPr>
        <w:t xml:space="preserve">.  </w:t>
      </w:r>
    </w:p>
    <w:p w:rsidR="0073793E" w:rsidRPr="006518BF" w:rsidRDefault="0063549C" w:rsidP="006518BF">
      <w:pPr>
        <w:pStyle w:val="Heading1"/>
        <w:ind w:left="-5" w:right="0"/>
        <w:jc w:val="both"/>
        <w:rPr>
          <w:rFonts w:ascii="Times New Roman" w:hAnsi="Times New Roman" w:cs="Times New Roman"/>
          <w:sz w:val="24"/>
          <w:szCs w:val="24"/>
        </w:rPr>
      </w:pPr>
      <w:r w:rsidRPr="006518BF">
        <w:rPr>
          <w:rFonts w:ascii="Times New Roman" w:hAnsi="Times New Roman" w:cs="Times New Roman"/>
          <w:sz w:val="24"/>
          <w:szCs w:val="24"/>
        </w:rPr>
        <w:lastRenderedPageBreak/>
        <w:t>Objectives and scope of the planning process</w:t>
      </w:r>
      <w:r w:rsidRPr="006518BF">
        <w:rPr>
          <w:rFonts w:ascii="Times New Roman" w:hAnsi="Times New Roman" w:cs="Times New Roman"/>
          <w:b w:val="0"/>
          <w:sz w:val="24"/>
          <w:szCs w:val="24"/>
        </w:rPr>
        <w:t xml:space="preserve"> </w:t>
      </w:r>
    </w:p>
    <w:p w:rsidR="0073793E" w:rsidRPr="006518BF" w:rsidRDefault="0063549C" w:rsidP="006518BF">
      <w:pPr>
        <w:spacing w:after="168"/>
        <w:ind w:left="-5" w:right="6"/>
        <w:rPr>
          <w:rFonts w:ascii="Times New Roman" w:hAnsi="Times New Roman" w:cs="Times New Roman"/>
          <w:sz w:val="24"/>
          <w:szCs w:val="24"/>
        </w:rPr>
      </w:pPr>
      <w:r w:rsidRPr="006518BF">
        <w:rPr>
          <w:rFonts w:ascii="Times New Roman" w:hAnsi="Times New Roman" w:cs="Times New Roman"/>
          <w:sz w:val="24"/>
          <w:szCs w:val="24"/>
        </w:rPr>
        <w:t xml:space="preserve">The objectives and scope of the planning process of the ISUDP are: </w:t>
      </w:r>
    </w:p>
    <w:p w:rsidR="0073793E" w:rsidRPr="006518BF" w:rsidRDefault="0063549C" w:rsidP="006518BF">
      <w:pPr>
        <w:numPr>
          <w:ilvl w:val="0"/>
          <w:numId w:val="1"/>
        </w:numPr>
        <w:spacing w:after="78"/>
        <w:ind w:right="6" w:hanging="360"/>
        <w:rPr>
          <w:rFonts w:ascii="Times New Roman" w:hAnsi="Times New Roman" w:cs="Times New Roman"/>
          <w:sz w:val="24"/>
          <w:szCs w:val="24"/>
        </w:rPr>
      </w:pPr>
      <w:r w:rsidRPr="006518BF">
        <w:rPr>
          <w:rFonts w:ascii="Times New Roman" w:hAnsi="Times New Roman" w:cs="Times New Roman"/>
          <w:sz w:val="24"/>
          <w:szCs w:val="24"/>
        </w:rPr>
        <w:t xml:space="preserve">To determine demographic changes in the last ten years and those expected over the life of the plan for each town, and how these relate to economic changes, welfare and administrative shifts;  </w:t>
      </w:r>
    </w:p>
    <w:p w:rsidR="0073793E" w:rsidRPr="006518BF" w:rsidRDefault="0063549C" w:rsidP="006518BF">
      <w:pPr>
        <w:numPr>
          <w:ilvl w:val="0"/>
          <w:numId w:val="1"/>
        </w:numPr>
        <w:spacing w:after="78"/>
        <w:ind w:right="6" w:hanging="360"/>
        <w:rPr>
          <w:rFonts w:ascii="Times New Roman" w:hAnsi="Times New Roman" w:cs="Times New Roman"/>
          <w:sz w:val="24"/>
          <w:szCs w:val="24"/>
        </w:rPr>
      </w:pPr>
      <w:r w:rsidRPr="006518BF">
        <w:rPr>
          <w:rFonts w:ascii="Times New Roman" w:hAnsi="Times New Roman" w:cs="Times New Roman"/>
          <w:sz w:val="24"/>
          <w:szCs w:val="24"/>
        </w:rPr>
        <w:t xml:space="preserve">To identify development constraints and potentials (social, economic, environmental and infrastructure profiling) and propose strategies to address them; </w:t>
      </w:r>
    </w:p>
    <w:p w:rsidR="0073793E" w:rsidRPr="006518BF" w:rsidRDefault="0063549C" w:rsidP="006518BF">
      <w:pPr>
        <w:numPr>
          <w:ilvl w:val="0"/>
          <w:numId w:val="1"/>
        </w:numPr>
        <w:spacing w:after="78"/>
        <w:ind w:right="6" w:hanging="360"/>
        <w:rPr>
          <w:rFonts w:ascii="Times New Roman" w:hAnsi="Times New Roman" w:cs="Times New Roman"/>
          <w:sz w:val="24"/>
          <w:szCs w:val="24"/>
        </w:rPr>
      </w:pPr>
      <w:r w:rsidRPr="006518BF">
        <w:rPr>
          <w:rFonts w:ascii="Times New Roman" w:hAnsi="Times New Roman" w:cs="Times New Roman"/>
          <w:sz w:val="24"/>
          <w:szCs w:val="24"/>
        </w:rPr>
        <w:t xml:space="preserve">To provide a basis for infrastructure and service provision for present and planed population over the plan period;  </w:t>
      </w:r>
    </w:p>
    <w:p w:rsidR="0073793E" w:rsidRPr="006518BF" w:rsidRDefault="0063549C" w:rsidP="006518BF">
      <w:pPr>
        <w:numPr>
          <w:ilvl w:val="0"/>
          <w:numId w:val="1"/>
        </w:numPr>
        <w:spacing w:after="78"/>
        <w:ind w:right="6" w:hanging="360"/>
        <w:rPr>
          <w:rFonts w:ascii="Times New Roman" w:hAnsi="Times New Roman" w:cs="Times New Roman"/>
          <w:sz w:val="24"/>
          <w:szCs w:val="24"/>
        </w:rPr>
      </w:pPr>
      <w:r w:rsidRPr="006518BF">
        <w:rPr>
          <w:rFonts w:ascii="Times New Roman" w:hAnsi="Times New Roman" w:cs="Times New Roman"/>
          <w:sz w:val="24"/>
          <w:szCs w:val="24"/>
        </w:rPr>
        <w:t xml:space="preserve">To allocate sufficient space for various land uses, including recreation and open spaces, to ensure efficient function and convenience of users and accommodate future growth;  </w:t>
      </w:r>
    </w:p>
    <w:p w:rsidR="0073793E" w:rsidRPr="006518BF" w:rsidRDefault="0063549C" w:rsidP="006518BF">
      <w:pPr>
        <w:numPr>
          <w:ilvl w:val="0"/>
          <w:numId w:val="1"/>
        </w:numPr>
        <w:spacing w:after="116" w:line="323" w:lineRule="auto"/>
        <w:ind w:right="6" w:hanging="360"/>
        <w:rPr>
          <w:rFonts w:ascii="Times New Roman" w:hAnsi="Times New Roman" w:cs="Times New Roman"/>
          <w:sz w:val="24"/>
          <w:szCs w:val="24"/>
        </w:rPr>
      </w:pPr>
      <w:r w:rsidRPr="006518BF">
        <w:rPr>
          <w:rFonts w:ascii="Times New Roman" w:hAnsi="Times New Roman" w:cs="Times New Roman"/>
          <w:sz w:val="24"/>
          <w:szCs w:val="24"/>
        </w:rPr>
        <w:t>To uphold innovative civic and urban design that enhances the character and form of the town; vi)</w:t>
      </w:r>
      <w:r w:rsidRPr="006518BF">
        <w:rPr>
          <w:rFonts w:ascii="Times New Roman" w:eastAsia="Arial" w:hAnsi="Times New Roman" w:cs="Times New Roman"/>
          <w:sz w:val="24"/>
          <w:szCs w:val="24"/>
        </w:rPr>
        <w:t xml:space="preserve"> </w:t>
      </w:r>
      <w:r w:rsidRPr="006518BF">
        <w:rPr>
          <w:rFonts w:ascii="Times New Roman" w:hAnsi="Times New Roman" w:cs="Times New Roman"/>
          <w:sz w:val="24"/>
          <w:szCs w:val="24"/>
        </w:rPr>
        <w:t>To provide a basis for development control and investment decisions; and vii)</w:t>
      </w:r>
      <w:r w:rsidRPr="006518BF">
        <w:rPr>
          <w:rFonts w:ascii="Times New Roman" w:eastAsia="Arial" w:hAnsi="Times New Roman" w:cs="Times New Roman"/>
          <w:sz w:val="24"/>
          <w:szCs w:val="24"/>
        </w:rPr>
        <w:t xml:space="preserve"> </w:t>
      </w:r>
      <w:r w:rsidRPr="006518BF">
        <w:rPr>
          <w:rFonts w:ascii="Times New Roman" w:hAnsi="Times New Roman" w:cs="Times New Roman"/>
          <w:sz w:val="24"/>
          <w:szCs w:val="24"/>
        </w:rPr>
        <w:t xml:space="preserve">To develop a plan implementation and monitoring framework. </w:t>
      </w:r>
    </w:p>
    <w:p w:rsidR="0073793E" w:rsidRPr="006518BF" w:rsidRDefault="0063549C" w:rsidP="006518BF">
      <w:pPr>
        <w:pStyle w:val="Heading1"/>
        <w:ind w:left="-5" w:right="0"/>
        <w:jc w:val="both"/>
        <w:rPr>
          <w:rFonts w:ascii="Times New Roman" w:hAnsi="Times New Roman" w:cs="Times New Roman"/>
          <w:sz w:val="24"/>
          <w:szCs w:val="24"/>
        </w:rPr>
      </w:pPr>
      <w:r w:rsidRPr="006518BF">
        <w:rPr>
          <w:rFonts w:ascii="Times New Roman" w:hAnsi="Times New Roman" w:cs="Times New Roman"/>
          <w:sz w:val="24"/>
          <w:szCs w:val="24"/>
        </w:rPr>
        <w:t xml:space="preserve">Geographical Coverage  </w:t>
      </w:r>
    </w:p>
    <w:p w:rsidR="0073793E" w:rsidRPr="006518BF" w:rsidRDefault="0063549C" w:rsidP="006518BF">
      <w:pPr>
        <w:spacing w:after="224"/>
        <w:ind w:left="-5" w:right="6"/>
        <w:rPr>
          <w:rFonts w:ascii="Times New Roman" w:hAnsi="Times New Roman" w:cs="Times New Roman"/>
          <w:sz w:val="24"/>
          <w:szCs w:val="24"/>
        </w:rPr>
      </w:pPr>
      <w:r w:rsidRPr="006518BF">
        <w:rPr>
          <w:rFonts w:ascii="Times New Roman" w:hAnsi="Times New Roman" w:cs="Times New Roman"/>
          <w:sz w:val="24"/>
          <w:szCs w:val="24"/>
        </w:rPr>
        <w:t xml:space="preserve">The planning area is in Kenya,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and straddles between longitudes 36° 36' 21'' E, 36° 51' 0'' E and latitudes 1° 18' 20'' S, 1° 27' 35'' S. The area borders </w:t>
      </w:r>
      <w:proofErr w:type="spellStart"/>
      <w:r w:rsidRPr="006518BF">
        <w:rPr>
          <w:rFonts w:ascii="Times New Roman" w:hAnsi="Times New Roman" w:cs="Times New Roman"/>
          <w:sz w:val="24"/>
          <w:szCs w:val="24"/>
        </w:rPr>
        <w:t>Kiambu</w:t>
      </w:r>
      <w:proofErr w:type="spellEnd"/>
      <w:r w:rsidRPr="006518BF">
        <w:rPr>
          <w:rFonts w:ascii="Times New Roman" w:hAnsi="Times New Roman" w:cs="Times New Roman"/>
          <w:sz w:val="24"/>
          <w:szCs w:val="24"/>
        </w:rPr>
        <w:t xml:space="preserve"> County to the North and Nairobi County is 17km to the North East. The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Municipality, which straddles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North Sub-County, covering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Oloolua</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Olkeri</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Nkaimurunya</w:t>
      </w:r>
      <w:proofErr w:type="spellEnd"/>
      <w:r w:rsidRPr="006518BF">
        <w:rPr>
          <w:rFonts w:ascii="Times New Roman" w:hAnsi="Times New Roman" w:cs="Times New Roman"/>
          <w:sz w:val="24"/>
          <w:szCs w:val="24"/>
        </w:rPr>
        <w:t xml:space="preserve"> and </w:t>
      </w:r>
      <w:proofErr w:type="spellStart"/>
      <w:r w:rsidRPr="006518BF">
        <w:rPr>
          <w:rFonts w:ascii="Times New Roman" w:hAnsi="Times New Roman" w:cs="Times New Roman"/>
          <w:sz w:val="24"/>
          <w:szCs w:val="24"/>
        </w:rPr>
        <w:t>Ongata</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Rongai</w:t>
      </w:r>
      <w:proofErr w:type="spellEnd"/>
      <w:r w:rsidRPr="006518BF">
        <w:rPr>
          <w:rFonts w:ascii="Times New Roman" w:hAnsi="Times New Roman" w:cs="Times New Roman"/>
          <w:sz w:val="24"/>
          <w:szCs w:val="24"/>
        </w:rPr>
        <w:t xml:space="preserve"> Wards; and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West Sub-County covering southern regions of </w:t>
      </w:r>
      <w:proofErr w:type="spellStart"/>
      <w:r w:rsidRPr="006518BF">
        <w:rPr>
          <w:rFonts w:ascii="Times New Roman" w:hAnsi="Times New Roman" w:cs="Times New Roman"/>
          <w:sz w:val="24"/>
          <w:szCs w:val="24"/>
        </w:rPr>
        <w:t>Ewuaso</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Oo</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Nkidong‟i</w:t>
      </w:r>
      <w:proofErr w:type="spellEnd"/>
      <w:r w:rsidRPr="006518BF">
        <w:rPr>
          <w:rFonts w:ascii="Times New Roman" w:hAnsi="Times New Roman" w:cs="Times New Roman"/>
          <w:sz w:val="24"/>
          <w:szCs w:val="24"/>
        </w:rPr>
        <w:t xml:space="preserve"> and a part of </w:t>
      </w:r>
      <w:proofErr w:type="spellStart"/>
      <w:r w:rsidRPr="006518BF">
        <w:rPr>
          <w:rFonts w:ascii="Times New Roman" w:hAnsi="Times New Roman" w:cs="Times New Roman"/>
          <w:sz w:val="24"/>
          <w:szCs w:val="24"/>
        </w:rPr>
        <w:t>Keekonyokie</w:t>
      </w:r>
      <w:proofErr w:type="spellEnd"/>
      <w:r w:rsidRPr="006518BF">
        <w:rPr>
          <w:rFonts w:ascii="Times New Roman" w:hAnsi="Times New Roman" w:cs="Times New Roman"/>
          <w:sz w:val="24"/>
          <w:szCs w:val="24"/>
        </w:rPr>
        <w:t xml:space="preserve"> Wards.  </w:t>
      </w:r>
    </w:p>
    <w:p w:rsidR="0073793E" w:rsidRPr="006518BF" w:rsidRDefault="0063549C" w:rsidP="006518BF">
      <w:pPr>
        <w:pStyle w:val="Heading1"/>
        <w:ind w:left="-5" w:right="0"/>
        <w:jc w:val="both"/>
        <w:rPr>
          <w:rFonts w:ascii="Times New Roman" w:hAnsi="Times New Roman" w:cs="Times New Roman"/>
          <w:sz w:val="24"/>
          <w:szCs w:val="24"/>
        </w:rPr>
      </w:pPr>
      <w:r w:rsidRPr="006518BF">
        <w:rPr>
          <w:rFonts w:ascii="Times New Roman" w:hAnsi="Times New Roman" w:cs="Times New Roman"/>
          <w:sz w:val="24"/>
          <w:szCs w:val="24"/>
        </w:rPr>
        <w:t xml:space="preserve">Urban Character of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Municipality   </w:t>
      </w:r>
    </w:p>
    <w:p w:rsidR="0073793E" w:rsidRPr="006518BF" w:rsidRDefault="0063549C" w:rsidP="006518BF">
      <w:pPr>
        <w:ind w:left="-5" w:right="6"/>
        <w:rPr>
          <w:rFonts w:ascii="Times New Roman" w:hAnsi="Times New Roman" w:cs="Times New Roman"/>
          <w:sz w:val="24"/>
          <w:szCs w:val="24"/>
        </w:rPr>
      </w:pP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Municipality has three major urban </w:t>
      </w:r>
      <w:proofErr w:type="spellStart"/>
      <w:r w:rsidRPr="006518BF">
        <w:rPr>
          <w:rFonts w:ascii="Times New Roman" w:hAnsi="Times New Roman" w:cs="Times New Roman"/>
          <w:sz w:val="24"/>
          <w:szCs w:val="24"/>
        </w:rPr>
        <w:t>centres</w:t>
      </w:r>
      <w:proofErr w:type="spellEnd"/>
      <w:r w:rsidRPr="006518BF">
        <w:rPr>
          <w:rFonts w:ascii="Times New Roman" w:hAnsi="Times New Roman" w:cs="Times New Roman"/>
          <w:sz w:val="24"/>
          <w:szCs w:val="24"/>
        </w:rPr>
        <w:t xml:space="preserve"> of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Ongata</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Rongai</w:t>
      </w:r>
      <w:proofErr w:type="spellEnd"/>
      <w:r w:rsidRPr="006518BF">
        <w:rPr>
          <w:rFonts w:ascii="Times New Roman" w:hAnsi="Times New Roman" w:cs="Times New Roman"/>
          <w:sz w:val="24"/>
          <w:szCs w:val="24"/>
        </w:rPr>
        <w:t xml:space="preserve">; and </w:t>
      </w:r>
      <w:proofErr w:type="spellStart"/>
      <w:r w:rsidRPr="006518BF">
        <w:rPr>
          <w:rFonts w:ascii="Times New Roman" w:hAnsi="Times New Roman" w:cs="Times New Roman"/>
          <w:sz w:val="24"/>
          <w:szCs w:val="24"/>
        </w:rPr>
        <w:t>Kiserian</w:t>
      </w:r>
      <w:proofErr w:type="spellEnd"/>
      <w:r w:rsidRPr="006518BF">
        <w:rPr>
          <w:rFonts w:ascii="Times New Roman" w:hAnsi="Times New Roman" w:cs="Times New Roman"/>
          <w:sz w:val="24"/>
          <w:szCs w:val="24"/>
        </w:rPr>
        <w:t xml:space="preserve">. These towns are witnessing rapid </w:t>
      </w:r>
      <w:proofErr w:type="spellStart"/>
      <w:r w:rsidRPr="006518BF">
        <w:rPr>
          <w:rFonts w:ascii="Times New Roman" w:hAnsi="Times New Roman" w:cs="Times New Roman"/>
          <w:sz w:val="24"/>
          <w:szCs w:val="24"/>
        </w:rPr>
        <w:t>urbanisation</w:t>
      </w:r>
      <w:proofErr w:type="spellEnd"/>
      <w:r w:rsidRPr="006518BF">
        <w:rPr>
          <w:rFonts w:ascii="Times New Roman" w:hAnsi="Times New Roman" w:cs="Times New Roman"/>
          <w:sz w:val="24"/>
          <w:szCs w:val="24"/>
        </w:rPr>
        <w:t xml:space="preserve"> characterized by their distinct advantages indicating their potential for growth and development.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is mainly an administrative and commercial town, while </w:t>
      </w:r>
      <w:proofErr w:type="spellStart"/>
      <w:r w:rsidRPr="006518BF">
        <w:rPr>
          <w:rFonts w:ascii="Times New Roman" w:hAnsi="Times New Roman" w:cs="Times New Roman"/>
          <w:sz w:val="24"/>
          <w:szCs w:val="24"/>
        </w:rPr>
        <w:t>Ongata</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Rongai</w:t>
      </w:r>
      <w:proofErr w:type="spellEnd"/>
      <w:r w:rsidRPr="006518BF">
        <w:rPr>
          <w:rFonts w:ascii="Times New Roman" w:hAnsi="Times New Roman" w:cs="Times New Roman"/>
          <w:sz w:val="24"/>
          <w:szCs w:val="24"/>
        </w:rPr>
        <w:t xml:space="preserve"> and </w:t>
      </w:r>
      <w:proofErr w:type="spellStart"/>
      <w:r w:rsidRPr="006518BF">
        <w:rPr>
          <w:rFonts w:ascii="Times New Roman" w:hAnsi="Times New Roman" w:cs="Times New Roman"/>
          <w:sz w:val="24"/>
          <w:szCs w:val="24"/>
        </w:rPr>
        <w:t>Kiserian</w:t>
      </w:r>
      <w:proofErr w:type="spellEnd"/>
      <w:r w:rsidRPr="006518BF">
        <w:rPr>
          <w:rFonts w:ascii="Times New Roman" w:hAnsi="Times New Roman" w:cs="Times New Roman"/>
          <w:sz w:val="24"/>
          <w:szCs w:val="24"/>
        </w:rPr>
        <w:t xml:space="preserve"> service towns. However, these towns serve as a major residential hub for Nairobi Metropolitan region with a thriving real estate economy.    </w:t>
      </w:r>
    </w:p>
    <w:p w:rsidR="0073793E" w:rsidRPr="006518BF" w:rsidRDefault="0063549C" w:rsidP="006518BF">
      <w:pPr>
        <w:spacing w:after="223"/>
        <w:ind w:left="-5" w:right="6"/>
        <w:rPr>
          <w:rFonts w:ascii="Times New Roman" w:hAnsi="Times New Roman" w:cs="Times New Roman"/>
          <w:sz w:val="24"/>
          <w:szCs w:val="24"/>
        </w:rPr>
      </w:pPr>
      <w:r w:rsidRPr="006518BF">
        <w:rPr>
          <w:rFonts w:ascii="Times New Roman" w:hAnsi="Times New Roman" w:cs="Times New Roman"/>
          <w:sz w:val="24"/>
          <w:szCs w:val="24"/>
        </w:rPr>
        <w:t xml:space="preserve">The Municipality presents budding opportunities for heritage conservation and tourism development, considering the wind farm with thirty wind turbines installed across the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Hills, traditional </w:t>
      </w:r>
      <w:proofErr w:type="spellStart"/>
      <w:r w:rsidRPr="006518BF">
        <w:rPr>
          <w:rFonts w:ascii="Times New Roman" w:hAnsi="Times New Roman" w:cs="Times New Roman"/>
          <w:sz w:val="24"/>
          <w:szCs w:val="24"/>
        </w:rPr>
        <w:t>colonialstyled</w:t>
      </w:r>
      <w:proofErr w:type="spellEnd"/>
      <w:r w:rsidRPr="006518BF">
        <w:rPr>
          <w:rFonts w:ascii="Times New Roman" w:hAnsi="Times New Roman" w:cs="Times New Roman"/>
          <w:sz w:val="24"/>
          <w:szCs w:val="24"/>
        </w:rPr>
        <w:t xml:space="preserve"> houses and is viewed as a water tower in this region. This makes it both a residential hub and an industrial town for the cottage industry as well as light agro-industrial activities. </w:t>
      </w:r>
    </w:p>
    <w:p w:rsidR="0073793E" w:rsidRPr="006518BF" w:rsidRDefault="0063549C" w:rsidP="006518BF">
      <w:pPr>
        <w:pStyle w:val="Heading1"/>
        <w:ind w:left="-5" w:right="0"/>
        <w:jc w:val="both"/>
        <w:rPr>
          <w:rFonts w:ascii="Times New Roman" w:hAnsi="Times New Roman" w:cs="Times New Roman"/>
          <w:sz w:val="24"/>
          <w:szCs w:val="24"/>
        </w:rPr>
      </w:pPr>
      <w:r w:rsidRPr="006518BF">
        <w:rPr>
          <w:rFonts w:ascii="Times New Roman" w:hAnsi="Times New Roman" w:cs="Times New Roman"/>
          <w:sz w:val="24"/>
          <w:szCs w:val="24"/>
        </w:rPr>
        <w:t xml:space="preserve">Demography of the planning area </w:t>
      </w:r>
    </w:p>
    <w:p w:rsidR="0073793E" w:rsidRPr="006518BF" w:rsidRDefault="0063549C" w:rsidP="006518BF">
      <w:pPr>
        <w:ind w:left="-5" w:right="6"/>
        <w:rPr>
          <w:rFonts w:ascii="Times New Roman" w:hAnsi="Times New Roman" w:cs="Times New Roman"/>
          <w:sz w:val="24"/>
          <w:szCs w:val="24"/>
        </w:rPr>
      </w:pP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town, whose population in 2009 was 107,188, is projected to reach 362,637 by 2028. It co</w:t>
      </w:r>
      <w:r w:rsidR="006518BF">
        <w:rPr>
          <w:rFonts w:ascii="Times New Roman" w:hAnsi="Times New Roman" w:cs="Times New Roman"/>
          <w:sz w:val="24"/>
          <w:szCs w:val="24"/>
        </w:rPr>
        <w:t xml:space="preserve">vers the following Wards: </w:t>
      </w:r>
      <w:proofErr w:type="spellStart"/>
      <w:r w:rsidR="006518BF">
        <w:rPr>
          <w:rFonts w:ascii="Times New Roman" w:hAnsi="Times New Roman" w:cs="Times New Roman"/>
          <w:sz w:val="24"/>
          <w:szCs w:val="24"/>
        </w:rPr>
        <w:t>Ngong</w:t>
      </w:r>
      <w:proofErr w:type="spellEnd"/>
      <w:r w:rsidR="006518BF">
        <w:rPr>
          <w:rFonts w:ascii="Times New Roman" w:hAnsi="Times New Roman" w:cs="Times New Roman"/>
          <w:sz w:val="24"/>
          <w:szCs w:val="24"/>
        </w:rPr>
        <w:t xml:space="preserve">; </w:t>
      </w:r>
      <w:proofErr w:type="spellStart"/>
      <w:r w:rsidR="006518BF">
        <w:rPr>
          <w:rFonts w:ascii="Times New Roman" w:hAnsi="Times New Roman" w:cs="Times New Roman"/>
          <w:sz w:val="24"/>
          <w:szCs w:val="24"/>
        </w:rPr>
        <w:t>Oloolua</w:t>
      </w:r>
      <w:proofErr w:type="spellEnd"/>
      <w:r w:rsidR="006518BF">
        <w:rPr>
          <w:rFonts w:ascii="Times New Roman" w:hAnsi="Times New Roman" w:cs="Times New Roman"/>
          <w:sz w:val="24"/>
          <w:szCs w:val="24"/>
        </w:rPr>
        <w:t xml:space="preserve"> and part of </w:t>
      </w:r>
      <w:proofErr w:type="spellStart"/>
      <w:r w:rsidR="006518BF">
        <w:rPr>
          <w:rFonts w:ascii="Times New Roman" w:hAnsi="Times New Roman" w:cs="Times New Roman"/>
          <w:sz w:val="24"/>
          <w:szCs w:val="24"/>
        </w:rPr>
        <w:t>Ewuaso</w:t>
      </w:r>
      <w:proofErr w:type="spellEnd"/>
      <w:r w:rsidR="006518BF">
        <w:rPr>
          <w:rFonts w:ascii="Times New Roman" w:hAnsi="Times New Roman" w:cs="Times New Roman"/>
          <w:sz w:val="24"/>
          <w:szCs w:val="24"/>
        </w:rPr>
        <w:t xml:space="preserve"> </w:t>
      </w:r>
      <w:proofErr w:type="spellStart"/>
      <w:r w:rsidR="006518BF">
        <w:rPr>
          <w:rFonts w:ascii="Times New Roman" w:hAnsi="Times New Roman" w:cs="Times New Roman"/>
          <w:sz w:val="24"/>
          <w:szCs w:val="24"/>
        </w:rPr>
        <w:t>Oo</w:t>
      </w:r>
      <w:proofErr w:type="spellEnd"/>
      <w:r w:rsidR="006518BF">
        <w:rPr>
          <w:rFonts w:ascii="Times New Roman" w:hAnsi="Times New Roman" w:cs="Times New Roman"/>
          <w:sz w:val="24"/>
          <w:szCs w:val="24"/>
        </w:rPr>
        <w:t xml:space="preserve"> </w:t>
      </w:r>
      <w:proofErr w:type="spellStart"/>
      <w:r w:rsidR="006518BF">
        <w:rPr>
          <w:rFonts w:ascii="Times New Roman" w:hAnsi="Times New Roman" w:cs="Times New Roman"/>
          <w:sz w:val="24"/>
          <w:szCs w:val="24"/>
        </w:rPr>
        <w:t>Nkidong</w:t>
      </w:r>
      <w:r w:rsidRPr="006518BF">
        <w:rPr>
          <w:rFonts w:ascii="Times New Roman" w:hAnsi="Times New Roman" w:cs="Times New Roman"/>
          <w:sz w:val="24"/>
          <w:szCs w:val="24"/>
        </w:rPr>
        <w:t>i</w:t>
      </w:r>
      <w:proofErr w:type="spellEnd"/>
      <w:r w:rsidRPr="006518BF">
        <w:rPr>
          <w:rFonts w:ascii="Times New Roman" w:hAnsi="Times New Roman" w:cs="Times New Roman"/>
          <w:sz w:val="24"/>
          <w:szCs w:val="24"/>
        </w:rPr>
        <w:t xml:space="preserve">.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On the other hand, </w:t>
      </w:r>
      <w:proofErr w:type="spellStart"/>
      <w:r w:rsidRPr="006518BF">
        <w:rPr>
          <w:rFonts w:ascii="Times New Roman" w:hAnsi="Times New Roman" w:cs="Times New Roman"/>
          <w:sz w:val="24"/>
          <w:szCs w:val="24"/>
        </w:rPr>
        <w:t>Ongata</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Rongai</w:t>
      </w:r>
      <w:proofErr w:type="spellEnd"/>
      <w:r w:rsidRPr="006518BF">
        <w:rPr>
          <w:rFonts w:ascii="Times New Roman" w:hAnsi="Times New Roman" w:cs="Times New Roman"/>
          <w:sz w:val="24"/>
          <w:szCs w:val="24"/>
        </w:rPr>
        <w:t xml:space="preserve">, whose population was 40,178 in 2009, is projected to reach 135,930 residents within the planning period.  </w:t>
      </w:r>
    </w:p>
    <w:p w:rsidR="0073793E" w:rsidRPr="006518BF" w:rsidRDefault="006518BF" w:rsidP="006518BF">
      <w:pPr>
        <w:ind w:left="-5" w:right="6"/>
        <w:rPr>
          <w:rFonts w:ascii="Times New Roman" w:hAnsi="Times New Roman" w:cs="Times New Roman"/>
          <w:sz w:val="24"/>
          <w:szCs w:val="24"/>
        </w:rPr>
      </w:pPr>
      <w:proofErr w:type="spellStart"/>
      <w:r>
        <w:rPr>
          <w:rFonts w:ascii="Times New Roman" w:hAnsi="Times New Roman" w:cs="Times New Roman"/>
          <w:sz w:val="24"/>
          <w:szCs w:val="24"/>
        </w:rPr>
        <w:t>Kiserian’</w:t>
      </w:r>
      <w:r w:rsidR="0063549C" w:rsidRPr="006518BF">
        <w:rPr>
          <w:rFonts w:ascii="Times New Roman" w:hAnsi="Times New Roman" w:cs="Times New Roman"/>
          <w:sz w:val="24"/>
          <w:szCs w:val="24"/>
        </w:rPr>
        <w:t>s</w:t>
      </w:r>
      <w:proofErr w:type="spellEnd"/>
      <w:r w:rsidR="0063549C" w:rsidRPr="006518BF">
        <w:rPr>
          <w:rFonts w:ascii="Times New Roman" w:hAnsi="Times New Roman" w:cs="Times New Roman"/>
          <w:sz w:val="24"/>
          <w:szCs w:val="24"/>
        </w:rPr>
        <w:t xml:space="preserve"> population is projected to reach 61,222. In the 2009 census the population was</w:t>
      </w:r>
      <w:r>
        <w:rPr>
          <w:rFonts w:ascii="Times New Roman" w:hAnsi="Times New Roman" w:cs="Times New Roman"/>
          <w:sz w:val="24"/>
          <w:szCs w:val="24"/>
        </w:rPr>
        <w:t xml:space="preserve"> 18,096. The town is seen as a safe</w:t>
      </w:r>
      <w:r w:rsidR="0063549C" w:rsidRPr="006518BF">
        <w:rPr>
          <w:rFonts w:ascii="Times New Roman" w:hAnsi="Times New Roman" w:cs="Times New Roman"/>
          <w:sz w:val="24"/>
          <w:szCs w:val="24"/>
        </w:rPr>
        <w:t xml:space="preserve"> </w:t>
      </w:r>
      <w:r w:rsidRPr="006518BF">
        <w:rPr>
          <w:rFonts w:ascii="Times New Roman" w:hAnsi="Times New Roman" w:cs="Times New Roman"/>
          <w:sz w:val="24"/>
          <w:szCs w:val="24"/>
        </w:rPr>
        <w:t>neighborhood</w:t>
      </w:r>
      <w:r w:rsidR="0063549C" w:rsidRPr="006518BF">
        <w:rPr>
          <w:rFonts w:ascii="Times New Roman" w:hAnsi="Times New Roman" w:cs="Times New Roman"/>
          <w:sz w:val="24"/>
          <w:szCs w:val="24"/>
        </w:rPr>
        <w:t xml:space="preserve">, and as a „junction town‟ where pastoralists, farmers, traders and residents mingle. </w:t>
      </w:r>
    </w:p>
    <w:p w:rsidR="0073793E" w:rsidRPr="006518BF" w:rsidRDefault="006518BF" w:rsidP="006518BF">
      <w:pPr>
        <w:spacing w:after="172"/>
        <w:ind w:left="-5" w:right="6"/>
        <w:rPr>
          <w:rFonts w:ascii="Times New Roman" w:hAnsi="Times New Roman" w:cs="Times New Roman"/>
          <w:sz w:val="24"/>
          <w:szCs w:val="24"/>
        </w:rPr>
      </w:pPr>
      <w:r>
        <w:rPr>
          <w:rFonts w:ascii="Times New Roman" w:hAnsi="Times New Roman" w:cs="Times New Roman"/>
          <w:sz w:val="24"/>
          <w:szCs w:val="24"/>
        </w:rPr>
        <w:lastRenderedPageBreak/>
        <w:t>The Municipality</w:t>
      </w:r>
      <w:r w:rsidR="0063549C" w:rsidRPr="006518BF">
        <w:rPr>
          <w:rFonts w:ascii="Times New Roman" w:hAnsi="Times New Roman" w:cs="Times New Roman"/>
          <w:sz w:val="24"/>
          <w:szCs w:val="24"/>
        </w:rPr>
        <w:t xml:space="preserve"> current population is estimated at 294,735, rising to 406,189 in 2023 and is expected to reach 559,789 in 2028 (Source KNBS).  </w:t>
      </w:r>
    </w:p>
    <w:p w:rsidR="0073793E" w:rsidRPr="006518BF" w:rsidRDefault="0063549C" w:rsidP="006518BF">
      <w:pPr>
        <w:pStyle w:val="Heading2"/>
        <w:spacing w:after="158"/>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Local Economy </w:t>
      </w:r>
    </w:p>
    <w:p w:rsidR="0073793E" w:rsidRPr="006518BF" w:rsidRDefault="0063549C" w:rsidP="006518BF">
      <w:pPr>
        <w:spacing w:after="171"/>
        <w:ind w:left="-5" w:right="6"/>
        <w:rPr>
          <w:rFonts w:ascii="Times New Roman" w:hAnsi="Times New Roman" w:cs="Times New Roman"/>
          <w:sz w:val="24"/>
          <w:szCs w:val="24"/>
        </w:rPr>
      </w:pPr>
      <w:r w:rsidRPr="006518BF">
        <w:rPr>
          <w:rFonts w:ascii="Times New Roman" w:hAnsi="Times New Roman" w:cs="Times New Roman"/>
          <w:sz w:val="24"/>
          <w:szCs w:val="24"/>
        </w:rPr>
        <w:t xml:space="preserve">The main economic sectors include: commerce, real estate, hospitality, transportation, and light industrial activities. However, agriculture and livestock remain a major sector of the local economy. These sectors are the main catalysts of the economic growth in the Municipality. </w:t>
      </w:r>
    </w:p>
    <w:p w:rsidR="0073793E" w:rsidRPr="006518BF" w:rsidRDefault="0063549C" w:rsidP="006518BF">
      <w:pPr>
        <w:spacing w:after="174"/>
        <w:ind w:left="-5" w:right="6"/>
        <w:rPr>
          <w:rFonts w:ascii="Times New Roman" w:hAnsi="Times New Roman" w:cs="Times New Roman"/>
          <w:sz w:val="24"/>
          <w:szCs w:val="24"/>
        </w:rPr>
      </w:pPr>
      <w:r w:rsidRPr="006518BF">
        <w:rPr>
          <w:rFonts w:ascii="Times New Roman" w:hAnsi="Times New Roman" w:cs="Times New Roman"/>
          <w:sz w:val="24"/>
          <w:szCs w:val="24"/>
        </w:rPr>
        <w:t xml:space="preserve">This plan refines the parameters of growth of the Municipality by defining the growth trajectory into an administrative; tourism; service and commercial hubs. However, real estate development will continue to serve </w:t>
      </w:r>
      <w:r w:rsidR="006518BF">
        <w:rPr>
          <w:rFonts w:ascii="Times New Roman" w:hAnsi="Times New Roman" w:cs="Times New Roman"/>
          <w:sz w:val="24"/>
          <w:szCs w:val="24"/>
        </w:rPr>
        <w:t>as a driver of the Municipality’</w:t>
      </w:r>
      <w:r w:rsidRPr="006518BF">
        <w:rPr>
          <w:rFonts w:ascii="Times New Roman" w:hAnsi="Times New Roman" w:cs="Times New Roman"/>
          <w:sz w:val="24"/>
          <w:szCs w:val="24"/>
        </w:rPr>
        <w:t xml:space="preserve">s economic development.  The plan proposes eco-friendly industrial activities and sports opportunities which will benefit from the diverse local environment. This plan </w:t>
      </w:r>
      <w:r w:rsidR="006518BF" w:rsidRPr="006518BF">
        <w:rPr>
          <w:rFonts w:ascii="Times New Roman" w:hAnsi="Times New Roman" w:cs="Times New Roman"/>
          <w:sz w:val="24"/>
          <w:szCs w:val="24"/>
        </w:rPr>
        <w:t>recognizes</w:t>
      </w:r>
      <w:r w:rsidRPr="006518BF">
        <w:rPr>
          <w:rFonts w:ascii="Times New Roman" w:hAnsi="Times New Roman" w:cs="Times New Roman"/>
          <w:sz w:val="24"/>
          <w:szCs w:val="24"/>
        </w:rPr>
        <w:t xml:space="preserve"> the relationship and influence of the urban areas to others in the hinterland from an environmental, economic, social and infrastructural perspective.</w:t>
      </w:r>
      <w:r w:rsidRPr="006518BF">
        <w:rPr>
          <w:rFonts w:ascii="Times New Roman" w:hAnsi="Times New Roman" w:cs="Times New Roman"/>
          <w:b/>
          <w:sz w:val="24"/>
          <w:szCs w:val="24"/>
        </w:rPr>
        <w:t xml:space="preserve"> </w:t>
      </w:r>
    </w:p>
    <w:p w:rsidR="0073793E" w:rsidRPr="006518BF" w:rsidRDefault="0063549C" w:rsidP="006518BF">
      <w:pPr>
        <w:pStyle w:val="Heading1"/>
        <w:spacing w:after="41"/>
        <w:ind w:left="-5" w:right="0"/>
        <w:jc w:val="both"/>
        <w:rPr>
          <w:rFonts w:ascii="Times New Roman" w:hAnsi="Times New Roman" w:cs="Times New Roman"/>
          <w:sz w:val="24"/>
          <w:szCs w:val="24"/>
        </w:rPr>
      </w:pPr>
      <w:r w:rsidRPr="006518BF">
        <w:rPr>
          <w:rFonts w:ascii="Times New Roman" w:hAnsi="Times New Roman" w:cs="Times New Roman"/>
          <w:sz w:val="24"/>
          <w:szCs w:val="24"/>
        </w:rPr>
        <w:t xml:space="preserve">The Methodology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The development of this plan underpinned the importance of invoking a participatory approach throughout the process. The process involved metropolitan-wide studies with the aim of con</w:t>
      </w:r>
      <w:r w:rsidR="006518BF">
        <w:rPr>
          <w:rFonts w:ascii="Times New Roman" w:hAnsi="Times New Roman" w:cs="Times New Roman"/>
          <w:sz w:val="24"/>
          <w:szCs w:val="24"/>
        </w:rPr>
        <w:t>textualizing the area</w:t>
      </w:r>
      <w:r w:rsidRPr="006518BF">
        <w:rPr>
          <w:rFonts w:ascii="Times New Roman" w:hAnsi="Times New Roman" w:cs="Times New Roman"/>
          <w:sz w:val="24"/>
          <w:szCs w:val="24"/>
        </w:rPr>
        <w:t xml:space="preserve">s environmental setting, transportation linkages and functional role within the Nairobi Metropolitan Region (NMR). This is elucidated in the following steps:  </w:t>
      </w:r>
    </w:p>
    <w:p w:rsidR="0073793E" w:rsidRPr="006518BF" w:rsidRDefault="0063549C" w:rsidP="006518BF">
      <w:pPr>
        <w:spacing w:after="116" w:line="238" w:lineRule="auto"/>
        <w:ind w:left="-5" w:right="0"/>
        <w:rPr>
          <w:rFonts w:ascii="Times New Roman" w:hAnsi="Times New Roman" w:cs="Times New Roman"/>
          <w:sz w:val="24"/>
          <w:szCs w:val="24"/>
        </w:rPr>
      </w:pPr>
      <w:r w:rsidRPr="006518BF">
        <w:rPr>
          <w:rFonts w:ascii="Times New Roman" w:hAnsi="Times New Roman" w:cs="Times New Roman"/>
          <w:b/>
          <w:sz w:val="24"/>
          <w:szCs w:val="24"/>
        </w:rPr>
        <w:t xml:space="preserve">Planning approach: </w:t>
      </w:r>
      <w:r w:rsidRPr="006518BF">
        <w:rPr>
          <w:rFonts w:ascii="Times New Roman" w:hAnsi="Times New Roman" w:cs="Times New Roman"/>
          <w:sz w:val="24"/>
          <w:szCs w:val="24"/>
        </w:rPr>
        <w:t>The approach commences by defining the economic context of the ISUDP. It then identifies the economic strengths that form the identified clusters and their role within the larger metropolitan area. Finally, the approach analyses the economics of identified towns and corridors against individual challenges and constraints. The entire approach is vetted in line with the NMR.</w:t>
      </w:r>
      <w:r w:rsidRPr="006518BF">
        <w:rPr>
          <w:rFonts w:ascii="Times New Roman" w:hAnsi="Times New Roman" w:cs="Times New Roman"/>
          <w:b/>
          <w:sz w:val="24"/>
          <w:szCs w:val="24"/>
        </w:rPr>
        <w:t xml:space="preserve"> </w:t>
      </w:r>
    </w:p>
    <w:p w:rsidR="0073793E" w:rsidRPr="006518BF" w:rsidRDefault="0063549C" w:rsidP="006518BF">
      <w:pPr>
        <w:spacing w:after="116" w:line="238" w:lineRule="auto"/>
        <w:ind w:left="-5" w:right="0"/>
        <w:rPr>
          <w:rFonts w:ascii="Times New Roman" w:hAnsi="Times New Roman" w:cs="Times New Roman"/>
          <w:sz w:val="24"/>
          <w:szCs w:val="24"/>
        </w:rPr>
      </w:pPr>
      <w:r w:rsidRPr="006518BF">
        <w:rPr>
          <w:rFonts w:ascii="Times New Roman" w:hAnsi="Times New Roman" w:cs="Times New Roman"/>
          <w:b/>
          <w:sz w:val="24"/>
          <w:szCs w:val="24"/>
        </w:rPr>
        <w:t xml:space="preserve">Planning model: </w:t>
      </w:r>
      <w:r w:rsidRPr="006518BF">
        <w:rPr>
          <w:rFonts w:ascii="Times New Roman" w:hAnsi="Times New Roman" w:cs="Times New Roman"/>
          <w:sz w:val="24"/>
          <w:szCs w:val="24"/>
        </w:rPr>
        <w:t xml:space="preserve">The ISUDP model ensures that the developmental inter-relationships within the planning area are sufficiently considered and that the identified development strategies are properly implemented. Thus the model merges the planning context and situation analysis to form the basis for the preparation of this plan, effectively guiding crafting of the Integrated Development Analysis which informs the Spatial Planning Framework as developed. This provides the overall policy direction that guides development initiatives within the planning area against a clear timeframe.  </w:t>
      </w:r>
    </w:p>
    <w:p w:rsidR="0073793E" w:rsidRPr="006518BF" w:rsidRDefault="0063549C" w:rsidP="006518BF">
      <w:pPr>
        <w:spacing w:after="116" w:line="238" w:lineRule="auto"/>
        <w:ind w:left="-5" w:right="0"/>
        <w:rPr>
          <w:rFonts w:ascii="Times New Roman" w:hAnsi="Times New Roman" w:cs="Times New Roman"/>
          <w:sz w:val="24"/>
          <w:szCs w:val="24"/>
        </w:rPr>
      </w:pPr>
      <w:r w:rsidRPr="006518BF">
        <w:rPr>
          <w:rFonts w:ascii="Times New Roman" w:hAnsi="Times New Roman" w:cs="Times New Roman"/>
          <w:b/>
          <w:sz w:val="24"/>
          <w:szCs w:val="24"/>
        </w:rPr>
        <w:t xml:space="preserve">Planning process: </w:t>
      </w:r>
      <w:r w:rsidRPr="006518BF">
        <w:rPr>
          <w:rFonts w:ascii="Times New Roman" w:hAnsi="Times New Roman" w:cs="Times New Roman"/>
          <w:sz w:val="24"/>
          <w:szCs w:val="24"/>
        </w:rPr>
        <w:t xml:space="preserve">This involves 11 steps: organizing the project planning team; developing the project design; stakeholder consultations; and conducting thematic studies, development of vision and objectives; formulation of development alternatives; draft plan preparation and development of proposals; among others.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 </w:t>
      </w:r>
    </w:p>
    <w:p w:rsidR="006518BF" w:rsidRDefault="006518BF" w:rsidP="006518BF">
      <w:pPr>
        <w:pStyle w:val="Heading2"/>
        <w:ind w:left="-5"/>
        <w:jc w:val="center"/>
        <w:rPr>
          <w:rFonts w:ascii="Times New Roman" w:hAnsi="Times New Roman" w:cs="Times New Roman"/>
          <w:sz w:val="24"/>
          <w:szCs w:val="24"/>
        </w:rPr>
      </w:pPr>
      <w:r>
        <w:rPr>
          <w:rFonts w:ascii="Times New Roman" w:hAnsi="Times New Roman" w:cs="Times New Roman"/>
          <w:sz w:val="24"/>
          <w:szCs w:val="24"/>
        </w:rPr>
        <w:t>CHAPTER 2</w:t>
      </w:r>
    </w:p>
    <w:p w:rsidR="0073793E" w:rsidRPr="006518BF" w:rsidRDefault="0063549C" w:rsidP="006518BF">
      <w:pPr>
        <w:pStyle w:val="Heading2"/>
        <w:ind w:left="-5"/>
        <w:jc w:val="center"/>
        <w:rPr>
          <w:rFonts w:ascii="Times New Roman" w:hAnsi="Times New Roman" w:cs="Times New Roman"/>
          <w:sz w:val="24"/>
          <w:szCs w:val="24"/>
        </w:rPr>
      </w:pPr>
      <w:r w:rsidRPr="006518BF">
        <w:rPr>
          <w:rFonts w:ascii="Times New Roman" w:hAnsi="Times New Roman" w:cs="Times New Roman"/>
          <w:sz w:val="24"/>
          <w:szCs w:val="24"/>
        </w:rPr>
        <w:t>CONTEXTUAL ANALYSIS</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This plan has been prepared agai</w:t>
      </w:r>
      <w:r w:rsidR="006518BF">
        <w:rPr>
          <w:rFonts w:ascii="Times New Roman" w:hAnsi="Times New Roman" w:cs="Times New Roman"/>
          <w:sz w:val="24"/>
          <w:szCs w:val="24"/>
        </w:rPr>
        <w:t>nst the backdrop of the country’</w:t>
      </w:r>
      <w:r w:rsidRPr="006518BF">
        <w:rPr>
          <w:rFonts w:ascii="Times New Roman" w:hAnsi="Times New Roman" w:cs="Times New Roman"/>
          <w:sz w:val="24"/>
          <w:szCs w:val="24"/>
        </w:rPr>
        <w:t xml:space="preserve">s demographics and projected growth dynamics. It takes in to account the development forecasts drawn from national census. It further looks at a review of governance structures, infrastructure systems and support, as well as general service provision resources realigned, benchmarked against global best practice. It also identifies focus sectors for stirring the required growth in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Municipality.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lastRenderedPageBreak/>
        <w:t xml:space="preserve">The Setting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The total population of Kenya is estimated at 47.6 million and a population gr</w:t>
      </w:r>
      <w:r w:rsidR="006518BF">
        <w:rPr>
          <w:rFonts w:ascii="Times New Roman" w:hAnsi="Times New Roman" w:cs="Times New Roman"/>
          <w:sz w:val="24"/>
          <w:szCs w:val="24"/>
        </w:rPr>
        <w:t>owth rate of 1.69%. The country’</w:t>
      </w:r>
      <w:r w:rsidRPr="006518BF">
        <w:rPr>
          <w:rFonts w:ascii="Times New Roman" w:hAnsi="Times New Roman" w:cs="Times New Roman"/>
          <w:sz w:val="24"/>
          <w:szCs w:val="24"/>
        </w:rPr>
        <w:t>s urban areas continue rapidly expand, due to mainly rural-urban migration and the annexation of cities and towns and natural in-situ population. In 2009, the population of Nairobi Metropolitan Region was 6,658,000 (CBS-2009). As point</w:t>
      </w:r>
      <w:r w:rsidR="006518BF">
        <w:rPr>
          <w:rFonts w:ascii="Times New Roman" w:hAnsi="Times New Roman" w:cs="Times New Roman"/>
          <w:sz w:val="24"/>
          <w:szCs w:val="24"/>
        </w:rPr>
        <w:t xml:space="preserve">ed out above, by 2009 the </w:t>
      </w:r>
      <w:proofErr w:type="spellStart"/>
      <w:r w:rsidR="006518BF">
        <w:rPr>
          <w:rFonts w:ascii="Times New Roman" w:hAnsi="Times New Roman" w:cs="Times New Roman"/>
          <w:sz w:val="24"/>
          <w:szCs w:val="24"/>
        </w:rPr>
        <w:t>Ngong’</w:t>
      </w:r>
      <w:r w:rsidRPr="006518BF">
        <w:rPr>
          <w:rFonts w:ascii="Times New Roman" w:hAnsi="Times New Roman" w:cs="Times New Roman"/>
          <w:sz w:val="24"/>
          <w:szCs w:val="24"/>
        </w:rPr>
        <w:t>s</w:t>
      </w:r>
      <w:proofErr w:type="spellEnd"/>
      <w:r w:rsidRPr="006518BF">
        <w:rPr>
          <w:rFonts w:ascii="Times New Roman" w:hAnsi="Times New Roman" w:cs="Times New Roman"/>
          <w:sz w:val="24"/>
          <w:szCs w:val="24"/>
        </w:rPr>
        <w:t xml:space="preserve"> population was 294,735 representing 4.42% of the entire NMR population.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Planning Framework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The ISUDP is prepared within the context of the Vision 2030, Nairobi Metro 2030 and Spatial Planning Concept for NMR. The Nairobi Metro 2030 providing policy direction for the development of the metropolis to support Kenya Vision 2030; and Spatial Planning Concept in line with the Nairobi Metropolitan Region (NMR) provides the physical directi</w:t>
      </w:r>
      <w:r w:rsidR="006518BF">
        <w:rPr>
          <w:rFonts w:ascii="Times New Roman" w:hAnsi="Times New Roman" w:cs="Times New Roman"/>
          <w:sz w:val="24"/>
          <w:szCs w:val="24"/>
        </w:rPr>
        <w:t>on for the region’</w:t>
      </w:r>
      <w:r w:rsidRPr="006518BF">
        <w:rPr>
          <w:rFonts w:ascii="Times New Roman" w:hAnsi="Times New Roman" w:cs="Times New Roman"/>
          <w:sz w:val="24"/>
          <w:szCs w:val="24"/>
        </w:rPr>
        <w:t xml:space="preserve">s development in line with Kenya Vision 2030 and Nairobi Metro 2030.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Widely, the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ISUDP would fit within the context of International, Regional (Eastern Africa) and National development trends, while taking </w:t>
      </w:r>
      <w:r w:rsidR="006518BF" w:rsidRPr="006518BF">
        <w:rPr>
          <w:rFonts w:ascii="Times New Roman" w:hAnsi="Times New Roman" w:cs="Times New Roman"/>
          <w:sz w:val="24"/>
          <w:szCs w:val="24"/>
        </w:rPr>
        <w:t>cognizance</w:t>
      </w:r>
      <w:r w:rsidRPr="006518BF">
        <w:rPr>
          <w:rFonts w:ascii="Times New Roman" w:hAnsi="Times New Roman" w:cs="Times New Roman"/>
          <w:sz w:val="24"/>
          <w:szCs w:val="24"/>
        </w:rPr>
        <w:t xml:space="preserve"> of the local level related plans. This ISUDP will see to fruition the New Urban Agenda for sustained, inclusive and sustainable economic growth through implementation of the development plan.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INTERNATIONAL, NATIONAL, REGIONAL DEVELOPMENT TRENDS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This plan has </w:t>
      </w:r>
      <w:r w:rsidR="006518BF" w:rsidRPr="006518BF">
        <w:rPr>
          <w:rFonts w:ascii="Times New Roman" w:hAnsi="Times New Roman" w:cs="Times New Roman"/>
          <w:sz w:val="24"/>
          <w:szCs w:val="24"/>
        </w:rPr>
        <w:t>analyzed</w:t>
      </w:r>
      <w:r w:rsidRPr="006518BF">
        <w:rPr>
          <w:rFonts w:ascii="Times New Roman" w:hAnsi="Times New Roman" w:cs="Times New Roman"/>
          <w:sz w:val="24"/>
          <w:szCs w:val="24"/>
        </w:rPr>
        <w:t xml:space="preserve"> the definition of urbanization, benchmarking against urbanization best practice citing appropriate case studies of global cities and towns. It also reviews some of the setbacks as well as the merits of different models used. It reflects this also based on the urban population growth and expansion, in line with service provision, housing availability and global urbanization protocols.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Regional Trends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plan </w:t>
      </w:r>
      <w:proofErr w:type="spellStart"/>
      <w:r w:rsidRPr="006518BF">
        <w:rPr>
          <w:rFonts w:ascii="Times New Roman" w:hAnsi="Times New Roman" w:cs="Times New Roman"/>
          <w:sz w:val="24"/>
          <w:szCs w:val="24"/>
        </w:rPr>
        <w:t>analysed</w:t>
      </w:r>
      <w:proofErr w:type="spellEnd"/>
      <w:r w:rsidRPr="006518BF">
        <w:rPr>
          <w:rFonts w:ascii="Times New Roman" w:hAnsi="Times New Roman" w:cs="Times New Roman"/>
          <w:sz w:val="24"/>
          <w:szCs w:val="24"/>
        </w:rPr>
        <w:t xml:space="preserve"> regional urban growth trends. It examines the current country demographics against period projections in order to guide effective plan modelling.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Long-term Development Strategy of the Government of Kenya </w:t>
      </w:r>
    </w:p>
    <w:p w:rsidR="0073793E" w:rsidRPr="006518BF" w:rsidRDefault="0063549C" w:rsidP="006518BF">
      <w:pPr>
        <w:spacing w:after="172"/>
        <w:ind w:left="-5" w:right="6"/>
        <w:rPr>
          <w:rFonts w:ascii="Times New Roman" w:hAnsi="Times New Roman" w:cs="Times New Roman"/>
          <w:sz w:val="24"/>
          <w:szCs w:val="24"/>
        </w:rPr>
      </w:pPr>
      <w:r w:rsidRPr="006518BF">
        <w:rPr>
          <w:rFonts w:ascii="Times New Roman" w:hAnsi="Times New Roman" w:cs="Times New Roman"/>
          <w:sz w:val="24"/>
          <w:szCs w:val="24"/>
        </w:rPr>
        <w:t xml:space="preserve">The plan outlines the Government of </w:t>
      </w:r>
      <w:proofErr w:type="spellStart"/>
      <w:r w:rsidRPr="006518BF">
        <w:rPr>
          <w:rFonts w:ascii="Times New Roman" w:hAnsi="Times New Roman" w:cs="Times New Roman"/>
          <w:sz w:val="24"/>
          <w:szCs w:val="24"/>
        </w:rPr>
        <w:t>Kenya‟s</w:t>
      </w:r>
      <w:proofErr w:type="spellEnd"/>
      <w:r w:rsidRPr="006518BF">
        <w:rPr>
          <w:rFonts w:ascii="Times New Roman" w:hAnsi="Times New Roman" w:cs="Times New Roman"/>
          <w:sz w:val="24"/>
          <w:szCs w:val="24"/>
        </w:rPr>
        <w:t xml:space="preserve"> long term development strategy known as „</w:t>
      </w:r>
      <w:r w:rsidRPr="006518BF">
        <w:rPr>
          <w:rFonts w:ascii="Times New Roman" w:hAnsi="Times New Roman" w:cs="Times New Roman"/>
          <w:b/>
          <w:sz w:val="24"/>
          <w:szCs w:val="24"/>
        </w:rPr>
        <w:t>Vision 2030</w:t>
      </w:r>
      <w:r w:rsidRPr="006518BF">
        <w:rPr>
          <w:rFonts w:ascii="Times New Roman" w:hAnsi="Times New Roman" w:cs="Times New Roman"/>
          <w:sz w:val="24"/>
          <w:szCs w:val="24"/>
        </w:rPr>
        <w:t xml:space="preserve">‟, in order to align it along its economics, social and political pillars. The ISUDP also bolsters the </w:t>
      </w:r>
      <w:proofErr w:type="spellStart"/>
      <w:r w:rsidRPr="006518BF">
        <w:rPr>
          <w:rFonts w:ascii="Times New Roman" w:hAnsi="Times New Roman" w:cs="Times New Roman"/>
          <w:sz w:val="24"/>
          <w:szCs w:val="24"/>
        </w:rPr>
        <w:t>country‟s</w:t>
      </w:r>
      <w:proofErr w:type="spellEnd"/>
      <w:r w:rsidRPr="006518BF">
        <w:rPr>
          <w:rFonts w:ascii="Times New Roman" w:hAnsi="Times New Roman" w:cs="Times New Roman"/>
          <w:sz w:val="24"/>
          <w:szCs w:val="24"/>
        </w:rPr>
        <w:t xml:space="preserve"> economic growth by planning along the priority themes for stimulated growth as per the national strategy.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Short-Term Development Strategy of the Government of Kenya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In the short-term, Kenya has launched a 5-Year Develo</w:t>
      </w:r>
      <w:r w:rsidR="006518BF">
        <w:rPr>
          <w:rFonts w:ascii="Times New Roman" w:hAnsi="Times New Roman" w:cs="Times New Roman"/>
          <w:sz w:val="24"/>
          <w:szCs w:val="24"/>
        </w:rPr>
        <w:t xml:space="preserve">pment Plan (2017-2022), dubbed - </w:t>
      </w:r>
      <w:r w:rsidRPr="006518BF">
        <w:rPr>
          <w:rFonts w:ascii="Times New Roman" w:hAnsi="Times New Roman" w:cs="Times New Roman"/>
          <w:b/>
          <w:sz w:val="24"/>
          <w:szCs w:val="24"/>
        </w:rPr>
        <w:t>The Big 4 Agenda</w:t>
      </w:r>
      <w:r w:rsidRPr="006518BF">
        <w:rPr>
          <w:rFonts w:ascii="Times New Roman" w:hAnsi="Times New Roman" w:cs="Times New Roman"/>
          <w:sz w:val="24"/>
          <w:szCs w:val="24"/>
        </w:rPr>
        <w:t xml:space="preserve"> </w:t>
      </w:r>
      <w:r w:rsidR="006518BF">
        <w:rPr>
          <w:rFonts w:ascii="Times New Roman" w:hAnsi="Times New Roman" w:cs="Times New Roman"/>
          <w:sz w:val="24"/>
          <w:szCs w:val="24"/>
        </w:rPr>
        <w:t xml:space="preserve">- </w:t>
      </w:r>
      <w:r w:rsidRPr="006518BF">
        <w:rPr>
          <w:rFonts w:ascii="Times New Roman" w:hAnsi="Times New Roman" w:cs="Times New Roman"/>
          <w:sz w:val="24"/>
          <w:szCs w:val="24"/>
        </w:rPr>
        <w:t xml:space="preserve">that focuses on four priority areas: </w:t>
      </w:r>
      <w:proofErr w:type="spellStart"/>
      <w:r w:rsidRPr="006518BF">
        <w:rPr>
          <w:rFonts w:ascii="Times New Roman" w:hAnsi="Times New Roman" w:cs="Times New Roman"/>
          <w:sz w:val="24"/>
          <w:szCs w:val="24"/>
        </w:rPr>
        <w:t>i</w:t>
      </w:r>
      <w:proofErr w:type="spellEnd"/>
      <w:r w:rsidRPr="006518BF">
        <w:rPr>
          <w:rFonts w:ascii="Times New Roman" w:hAnsi="Times New Roman" w:cs="Times New Roman"/>
          <w:sz w:val="24"/>
          <w:szCs w:val="24"/>
        </w:rPr>
        <w:t>) Ensuring food security; ii) Increasing affordable housing – through constructing 500,000 affordable homes by 2</w:t>
      </w:r>
      <w:r w:rsidR="006518BF">
        <w:rPr>
          <w:rFonts w:ascii="Times New Roman" w:hAnsi="Times New Roman" w:cs="Times New Roman"/>
          <w:sz w:val="24"/>
          <w:szCs w:val="24"/>
        </w:rPr>
        <w:t>020; iii) Enhancing the country’</w:t>
      </w:r>
      <w:r w:rsidRPr="006518BF">
        <w:rPr>
          <w:rFonts w:ascii="Times New Roman" w:hAnsi="Times New Roman" w:cs="Times New Roman"/>
          <w:sz w:val="24"/>
          <w:szCs w:val="24"/>
        </w:rPr>
        <w:t xml:space="preserve">s manufacturing capacity at all levels; and iv) Providing affordable healthcare universally to all Kenyans. The ISUDP sets primacy in its emphasis on the priority areas.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Economy of NMR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crafting of the ISDUP then looks at the aspects of the economy of the NMR in relation to macroeconomic growth factors and growth targets. The Economic Recovery Strategy (ERS) identifies the private sector in NMR as the engine of growth. This plan has identified various sectors as useful in a bid to stir economic growth and development within the NMR. These sectors include agriculture, real estate, manufacturing and industry, service sector, tourism, employment </w:t>
      </w:r>
      <w:r w:rsidRPr="006518BF">
        <w:rPr>
          <w:rFonts w:ascii="Times New Roman" w:hAnsi="Times New Roman" w:cs="Times New Roman"/>
          <w:sz w:val="24"/>
          <w:szCs w:val="24"/>
        </w:rPr>
        <w:lastRenderedPageBreak/>
        <w:t xml:space="preserve">creation, poverty reduction initiatives in order to bring down income inequality, and spurring the growth and expansion of micro and small enterprises.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Bottlenecks of Economic Development of NMR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plan also </w:t>
      </w:r>
      <w:r w:rsidR="006518BF" w:rsidRPr="006518BF">
        <w:rPr>
          <w:rFonts w:ascii="Times New Roman" w:hAnsi="Times New Roman" w:cs="Times New Roman"/>
          <w:sz w:val="24"/>
          <w:szCs w:val="24"/>
        </w:rPr>
        <w:t>summarizes</w:t>
      </w:r>
      <w:r w:rsidRPr="006518BF">
        <w:rPr>
          <w:rFonts w:ascii="Times New Roman" w:hAnsi="Times New Roman" w:cs="Times New Roman"/>
          <w:sz w:val="24"/>
          <w:szCs w:val="24"/>
        </w:rPr>
        <w:t xml:space="preserve"> some of the impediments of economic development in the NMR, that will slow GDP growth. As long as it remains largely driven by private consumption and investment rather than a stable macro-economic environment that is not outpaced by production capacity, then the intended advancement will remain remote. It cites that as long as population growth is followed by unmatched investment opportunities and unequalled service delivery, this will stunt economic development in the NMR </w:t>
      </w:r>
    </w:p>
    <w:p w:rsid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OTHER PLANS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Interdisciplinary Land-Use and Transport Metropolitan Analysis (ILUT) within the NMR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sectoral economies of Nairobi Metropolitan Region will basically rely on agriculture; real estate; industry and manufacturing; service sector; tourism; employment; poverty and income Inequality; and Micro and Small Enterprises. </w:t>
      </w:r>
    </w:p>
    <w:p w:rsidR="0073793E" w:rsidRPr="006518BF" w:rsidRDefault="0063549C" w:rsidP="006518BF">
      <w:pPr>
        <w:spacing w:after="10"/>
        <w:ind w:left="-5" w:right="6"/>
        <w:rPr>
          <w:rFonts w:ascii="Times New Roman" w:hAnsi="Times New Roman" w:cs="Times New Roman"/>
          <w:sz w:val="24"/>
          <w:szCs w:val="24"/>
        </w:rPr>
      </w:pPr>
      <w:r w:rsidRPr="006518BF">
        <w:rPr>
          <w:rFonts w:ascii="Times New Roman" w:hAnsi="Times New Roman" w:cs="Times New Roman"/>
          <w:sz w:val="24"/>
          <w:szCs w:val="24"/>
        </w:rPr>
        <w:t xml:space="preserve">The broad strategic and policy guidance for development in the Nairobi Metropolitan Region comes from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Spatial Planning Concept for Nairobi Metropolitan Region (SPC), The Integrated Urban Development Master Plan for the City of Nairobi (NIUPLAN) and The Mass Rapid Transit Harmonization Study (Harmonization Study). It also refers to the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Integrated Development Plan 2013 – 2017.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County Integrated Development Plan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ISUDP refers to the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Integrated Development Plan 2013 – 2017, in a bid to highlight the key development challenges in the County, identify the crosscutting issues, defining the immediate objectives and the priority </w:t>
      </w:r>
      <w:proofErr w:type="spellStart"/>
      <w:r w:rsidRPr="006518BF">
        <w:rPr>
          <w:rFonts w:ascii="Times New Roman" w:hAnsi="Times New Roman" w:cs="Times New Roman"/>
          <w:sz w:val="24"/>
          <w:szCs w:val="24"/>
        </w:rPr>
        <w:t>programme</w:t>
      </w:r>
      <w:proofErr w:type="spellEnd"/>
      <w:r w:rsidRPr="006518BF">
        <w:rPr>
          <w:rFonts w:ascii="Times New Roman" w:hAnsi="Times New Roman" w:cs="Times New Roman"/>
          <w:sz w:val="24"/>
          <w:szCs w:val="24"/>
        </w:rPr>
        <w:t xml:space="preserve"> and projects being launched within the CIDP period.  This plan will inform the future CIDP planning in terms of recommended projects and also to promote integrated planning.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 </w:t>
      </w:r>
    </w:p>
    <w:p w:rsid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LEGAL AND POLICY FRAMEWORK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Legal Instruments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ISUDP has been prepared within the relevant legal and policy frameworks of the Government of Kenya (GOK) including the Constitution of Kenya, 2010. Article 184 creates Urban Areas and Cities and provides for legislation that creates mechanism for their classification, governance and management. Furthermore, Article 166(1) allows the state to regulate for, among other purposes, land use planning. </w:t>
      </w:r>
    </w:p>
    <w:p w:rsidR="0073793E" w:rsidRPr="006518BF" w:rsidRDefault="0063549C" w:rsidP="006518BF">
      <w:pPr>
        <w:spacing w:after="139"/>
        <w:ind w:left="-5" w:right="6"/>
        <w:rPr>
          <w:rFonts w:ascii="Times New Roman" w:hAnsi="Times New Roman" w:cs="Times New Roman"/>
          <w:sz w:val="24"/>
          <w:szCs w:val="24"/>
        </w:rPr>
      </w:pPr>
      <w:r w:rsidRPr="006518BF">
        <w:rPr>
          <w:rFonts w:ascii="Times New Roman" w:hAnsi="Times New Roman" w:cs="Times New Roman"/>
          <w:b/>
          <w:sz w:val="24"/>
          <w:szCs w:val="24"/>
        </w:rPr>
        <w:t>County Governments Act 2012</w:t>
      </w:r>
      <w:r w:rsidRPr="006518BF">
        <w:rPr>
          <w:rFonts w:ascii="Times New Roman" w:hAnsi="Times New Roman" w:cs="Times New Roman"/>
          <w:sz w:val="24"/>
          <w:szCs w:val="24"/>
        </w:rPr>
        <w:t xml:space="preserve"> mandates County Governments to prepare county plans which include “cities and urban areas plans,” amongst others. The said Act provides that the “county planning framework shall integrate economic, physical, social, environmental and spatial planning” (Article 104(2)).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b/>
          <w:sz w:val="24"/>
          <w:szCs w:val="24"/>
        </w:rPr>
        <w:t>Urban Areas and Cities Act 2011</w:t>
      </w:r>
      <w:r w:rsidRPr="006518BF">
        <w:rPr>
          <w:rFonts w:ascii="Times New Roman" w:hAnsi="Times New Roman" w:cs="Times New Roman"/>
          <w:sz w:val="24"/>
          <w:szCs w:val="24"/>
        </w:rPr>
        <w:t xml:space="preserve"> provides that Town Committees should “formulate and implement an integrated development plan” (Article 20(2-c)) as well as “control land use, land sub-division, land development and zoning…within the framework of the spatial and master plans for the (town) as may be delegated by the county government (Article 20(2-d)).”  The integrated </w:t>
      </w:r>
      <w:r w:rsidRPr="006518BF">
        <w:rPr>
          <w:rFonts w:ascii="Times New Roman" w:hAnsi="Times New Roman" w:cs="Times New Roman"/>
          <w:sz w:val="24"/>
          <w:szCs w:val="24"/>
        </w:rPr>
        <w:lastRenderedPageBreak/>
        <w:t xml:space="preserve">development plan “shall bind, guide and inform all planning development and decisions and ensure comprehensive inclusion of all functions” (Article 36(2). </w:t>
      </w:r>
    </w:p>
    <w:p w:rsidR="0073793E" w:rsidRPr="006518BF" w:rsidRDefault="0063549C" w:rsidP="006518BF">
      <w:pPr>
        <w:spacing w:after="143"/>
        <w:ind w:left="-5" w:right="6"/>
        <w:rPr>
          <w:rFonts w:ascii="Times New Roman" w:hAnsi="Times New Roman" w:cs="Times New Roman"/>
          <w:sz w:val="24"/>
          <w:szCs w:val="24"/>
        </w:rPr>
      </w:pPr>
      <w:r w:rsidRPr="006518BF">
        <w:rPr>
          <w:rFonts w:ascii="Times New Roman" w:hAnsi="Times New Roman" w:cs="Times New Roman"/>
          <w:b/>
          <w:sz w:val="24"/>
          <w:szCs w:val="24"/>
        </w:rPr>
        <w:t>Physical Planning Act (PPA), Cap 286</w:t>
      </w:r>
      <w:r w:rsidRPr="006518BF">
        <w:rPr>
          <w:rFonts w:ascii="Times New Roman" w:hAnsi="Times New Roman" w:cs="Times New Roman"/>
          <w:sz w:val="24"/>
          <w:szCs w:val="24"/>
        </w:rPr>
        <w:t xml:space="preserve"> provides for proper coordination between the different levels of government in the preparation and implementation of the various physical development plans. The preparation and implementation of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ISUDP is anchored on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government pursuant to section 29 of PPA Cap 286.  Further the overall objective of this ISUDP as a planning tool, is to prohibit or control the use and development of land and buildings in the interests of proper and orderly development of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Municipality; control or prohibit the subdivision of land or existing plots into smaller areas as well as to reserve and maintain all the land planned for open spaces, parks, urban forests and green belts in accordance with the approved physical development plan subject to section 29 of PPA Cap 286. </w:t>
      </w:r>
    </w:p>
    <w:p w:rsidR="0073793E" w:rsidRPr="006518BF" w:rsidRDefault="0063549C" w:rsidP="006518BF">
      <w:pPr>
        <w:spacing w:after="138"/>
        <w:ind w:left="-5" w:right="6"/>
        <w:rPr>
          <w:rFonts w:ascii="Times New Roman" w:hAnsi="Times New Roman" w:cs="Times New Roman"/>
          <w:sz w:val="24"/>
          <w:szCs w:val="24"/>
        </w:rPr>
      </w:pPr>
      <w:r w:rsidRPr="006518BF">
        <w:rPr>
          <w:rFonts w:ascii="Times New Roman" w:hAnsi="Times New Roman" w:cs="Times New Roman"/>
          <w:sz w:val="24"/>
          <w:szCs w:val="24"/>
        </w:rPr>
        <w:t xml:space="preserve">Environmentally, this ISUDP seeks to ensure every person has clean and healthy environment and has the duty to safeguard and enhance the environment pursuant to Section 3 of Environment Management and Coordination (Amendment) Act of 2015. The entitlement to a clean and healthy environment in the ISUDP has included the access by any person to various public elements or segments of the environment for recreational, educational, health, spiritual and cultural purposes. Other regulations that stem from EMCA (Amendment) Act of 2015 which have been considered during the preparation of this ISUDP include: Environmental (Impact Assessment and Audit) Regulations, 2003, Air Quality Regulations, 2013 (Legal Notice No. 34), Waste Management Regulations, 2006 (Legal Notice 121), Water Quality Regulations, 2006 (Legal Notice No. 120), Controlled Substances Regulations, 2007 (Legal Notice No.73), Wetlands, Riverbanks, Lake Shore and Sea Shore Management Regulations, 2009 (Legal Notice No. 19) and Noise and Excessive Vibration Pollution (Control) Regulations, 2009 (Legal Notice No. 25). </w:t>
      </w:r>
    </w:p>
    <w:p w:rsidR="0073793E" w:rsidRPr="006518BF" w:rsidRDefault="0063549C" w:rsidP="006518BF">
      <w:pPr>
        <w:spacing w:after="10"/>
        <w:ind w:left="-5" w:right="6"/>
        <w:rPr>
          <w:rFonts w:ascii="Times New Roman" w:hAnsi="Times New Roman" w:cs="Times New Roman"/>
          <w:sz w:val="24"/>
          <w:szCs w:val="24"/>
        </w:rPr>
      </w:pPr>
      <w:r w:rsidRPr="006518BF">
        <w:rPr>
          <w:rFonts w:ascii="Times New Roman" w:hAnsi="Times New Roman" w:cs="Times New Roman"/>
          <w:sz w:val="24"/>
          <w:szCs w:val="24"/>
        </w:rPr>
        <w:t xml:space="preserve">Other sectoral laws which informs this plan are explained in the table below; </w:t>
      </w:r>
    </w:p>
    <w:tbl>
      <w:tblPr>
        <w:tblStyle w:val="TableGrid"/>
        <w:tblW w:w="9517" w:type="dxa"/>
        <w:tblInd w:w="-107" w:type="dxa"/>
        <w:tblCellMar>
          <w:top w:w="167" w:type="dxa"/>
          <w:left w:w="107" w:type="dxa"/>
          <w:right w:w="53" w:type="dxa"/>
        </w:tblCellMar>
        <w:tblLook w:val="04A0" w:firstRow="1" w:lastRow="0" w:firstColumn="1" w:lastColumn="0" w:noHBand="0" w:noVBand="1"/>
      </w:tblPr>
      <w:tblGrid>
        <w:gridCol w:w="2800"/>
        <w:gridCol w:w="6717"/>
      </w:tblGrid>
      <w:tr w:rsidR="0073793E" w:rsidRPr="006518BF">
        <w:trPr>
          <w:trHeight w:val="495"/>
        </w:trPr>
        <w:tc>
          <w:tcPr>
            <w:tcW w:w="2800" w:type="dxa"/>
            <w:tcBorders>
              <w:top w:val="single" w:sz="3" w:space="0" w:color="FFFFFF"/>
              <w:left w:val="single" w:sz="3" w:space="0" w:color="FFFFFF"/>
              <w:bottom w:val="nil"/>
              <w:right w:val="nil"/>
            </w:tcBorders>
            <w:shd w:val="clear" w:color="auto" w:fill="4F81BD"/>
            <w:vAlign w:val="center"/>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Law </w:t>
            </w:r>
          </w:p>
        </w:tc>
        <w:tc>
          <w:tcPr>
            <w:tcW w:w="6717" w:type="dxa"/>
            <w:tcBorders>
              <w:top w:val="single" w:sz="3" w:space="0" w:color="FFFFFF"/>
              <w:left w:val="nil"/>
              <w:bottom w:val="single" w:sz="3" w:space="0" w:color="FFFFFF"/>
              <w:right w:val="single" w:sz="3" w:space="0" w:color="FFFFFF"/>
            </w:tcBorders>
            <w:shd w:val="clear" w:color="auto" w:fill="4F81BD"/>
            <w:vAlign w:val="center"/>
          </w:tcPr>
          <w:p w:rsidR="0073793E" w:rsidRPr="006518BF" w:rsidRDefault="0063549C" w:rsidP="006518BF">
            <w:pPr>
              <w:spacing w:after="0" w:line="259" w:lineRule="auto"/>
              <w:ind w:left="1"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Relevance  </w:t>
            </w:r>
          </w:p>
        </w:tc>
      </w:tr>
      <w:tr w:rsidR="0073793E" w:rsidRPr="006518BF">
        <w:trPr>
          <w:trHeight w:val="992"/>
        </w:trPr>
        <w:tc>
          <w:tcPr>
            <w:tcW w:w="2800" w:type="dxa"/>
            <w:tcBorders>
              <w:top w:val="nil"/>
              <w:left w:val="single" w:sz="3" w:space="0" w:color="FFFFFF"/>
              <w:bottom w:val="single" w:sz="3" w:space="0" w:color="FFFFFF"/>
              <w:right w:val="single" w:sz="3" w:space="0" w:color="FFFFFF"/>
            </w:tcBorders>
            <w:shd w:val="clear" w:color="auto" w:fill="4F81BD"/>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Agriculture, Fisheries and Food Authority Act, (2013) </w:t>
            </w:r>
          </w:p>
        </w:tc>
        <w:tc>
          <w:tcPr>
            <w:tcW w:w="6717" w:type="dxa"/>
            <w:tcBorders>
              <w:top w:val="single" w:sz="3" w:space="0" w:color="FFFFFF"/>
              <w:left w:val="single" w:sz="3" w:space="0" w:color="FFFFFF"/>
              <w:bottom w:val="single" w:sz="3" w:space="0" w:color="FFFFFF"/>
              <w:right w:val="single" w:sz="3" w:space="0" w:color="FFFFFF"/>
            </w:tcBorders>
            <w:shd w:val="clear" w:color="auto" w:fill="B8CCE4"/>
            <w:vAlign w:val="center"/>
          </w:tcPr>
          <w:p w:rsidR="0073793E" w:rsidRPr="006518BF" w:rsidRDefault="0063549C" w:rsidP="006518BF">
            <w:pPr>
              <w:spacing w:after="0" w:line="259" w:lineRule="auto"/>
              <w:ind w:left="1" w:right="52" w:firstLine="0"/>
              <w:rPr>
                <w:rFonts w:ascii="Times New Roman" w:hAnsi="Times New Roman" w:cs="Times New Roman"/>
                <w:sz w:val="24"/>
                <w:szCs w:val="24"/>
              </w:rPr>
            </w:pPr>
            <w:r w:rsidRPr="006518BF">
              <w:rPr>
                <w:rFonts w:ascii="Times New Roman" w:hAnsi="Times New Roman" w:cs="Times New Roman"/>
                <w:sz w:val="24"/>
                <w:szCs w:val="24"/>
              </w:rPr>
              <w:t xml:space="preserve">Provides the confines within which to make proposals on agriculture promotion and conservation of soils and fertility for sustainable agriculture and optimization of land use </w:t>
            </w:r>
          </w:p>
        </w:tc>
      </w:tr>
      <w:tr w:rsidR="0073793E" w:rsidRPr="006518BF">
        <w:trPr>
          <w:trHeight w:val="992"/>
        </w:trPr>
        <w:tc>
          <w:tcPr>
            <w:tcW w:w="2800" w:type="dxa"/>
            <w:tcBorders>
              <w:top w:val="single" w:sz="3" w:space="0" w:color="FFFFFF"/>
              <w:left w:val="single" w:sz="3" w:space="0" w:color="FFFFFF"/>
              <w:bottom w:val="single" w:sz="3" w:space="0" w:color="FFFFFF"/>
              <w:right w:val="single" w:sz="3" w:space="0" w:color="FFFFFF"/>
            </w:tcBorders>
            <w:shd w:val="clear" w:color="auto" w:fill="4F81BD"/>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Water Act (2002) </w:t>
            </w:r>
          </w:p>
        </w:tc>
        <w:tc>
          <w:tcPr>
            <w:tcW w:w="6717" w:type="dxa"/>
            <w:tcBorders>
              <w:top w:val="single" w:sz="3" w:space="0" w:color="FFFFFF"/>
              <w:left w:val="single" w:sz="3" w:space="0" w:color="FFFFFF"/>
              <w:bottom w:val="single" w:sz="3" w:space="0" w:color="FFFFFF"/>
              <w:right w:val="nil"/>
            </w:tcBorders>
            <w:shd w:val="clear" w:color="auto" w:fill="DBE5F1"/>
            <w:vAlign w:val="center"/>
          </w:tcPr>
          <w:p w:rsidR="0073793E" w:rsidRPr="006518BF" w:rsidRDefault="0063549C" w:rsidP="006518BF">
            <w:pPr>
              <w:spacing w:after="0" w:line="259" w:lineRule="auto"/>
              <w:ind w:left="1" w:right="57" w:firstLine="0"/>
              <w:rPr>
                <w:rFonts w:ascii="Times New Roman" w:hAnsi="Times New Roman" w:cs="Times New Roman"/>
                <w:sz w:val="24"/>
                <w:szCs w:val="24"/>
              </w:rPr>
            </w:pPr>
            <w:r w:rsidRPr="006518BF">
              <w:rPr>
                <w:rFonts w:ascii="Times New Roman" w:hAnsi="Times New Roman" w:cs="Times New Roman"/>
                <w:sz w:val="24"/>
                <w:szCs w:val="24"/>
              </w:rPr>
              <w:t xml:space="preserve">Provide guidelines on plan proposals touching on management, conservation, use and control of water resources, water supply, and sewerage services </w:t>
            </w:r>
          </w:p>
        </w:tc>
      </w:tr>
      <w:tr w:rsidR="0073793E" w:rsidRPr="006518BF">
        <w:trPr>
          <w:trHeight w:val="748"/>
        </w:trPr>
        <w:tc>
          <w:tcPr>
            <w:tcW w:w="2800" w:type="dxa"/>
            <w:tcBorders>
              <w:top w:val="single" w:sz="3" w:space="0" w:color="FFFFFF"/>
              <w:left w:val="single" w:sz="3" w:space="0" w:color="FFFFFF"/>
              <w:bottom w:val="single" w:sz="3" w:space="0" w:color="FFFFFF"/>
              <w:right w:val="single" w:sz="3" w:space="0" w:color="FFFFFF"/>
            </w:tcBorders>
            <w:shd w:val="clear" w:color="auto" w:fill="4F81BD"/>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Lands Act, 2012 </w:t>
            </w:r>
          </w:p>
        </w:tc>
        <w:tc>
          <w:tcPr>
            <w:tcW w:w="6717" w:type="dxa"/>
            <w:tcBorders>
              <w:top w:val="single" w:sz="3" w:space="0" w:color="FFFFFF"/>
              <w:left w:val="single" w:sz="3" w:space="0" w:color="FFFFFF"/>
              <w:bottom w:val="single" w:sz="3" w:space="0" w:color="FFFFFF"/>
              <w:right w:val="nil"/>
            </w:tcBorders>
            <w:shd w:val="clear" w:color="auto" w:fill="B8CCE4"/>
            <w:vAlign w:val="center"/>
          </w:tcPr>
          <w:p w:rsidR="0073793E" w:rsidRPr="006518BF" w:rsidRDefault="0063549C" w:rsidP="006518BF">
            <w:pPr>
              <w:spacing w:after="0" w:line="259" w:lineRule="auto"/>
              <w:ind w:left="1" w:right="0" w:firstLine="0"/>
              <w:rPr>
                <w:rFonts w:ascii="Times New Roman" w:hAnsi="Times New Roman" w:cs="Times New Roman"/>
                <w:sz w:val="24"/>
                <w:szCs w:val="24"/>
              </w:rPr>
            </w:pPr>
            <w:r w:rsidRPr="006518BF">
              <w:rPr>
                <w:rFonts w:ascii="Times New Roman" w:hAnsi="Times New Roman" w:cs="Times New Roman"/>
                <w:sz w:val="24"/>
                <w:szCs w:val="24"/>
              </w:rPr>
              <w:t xml:space="preserve">Provides for sustainable administration and management of land and land based resources nationally </w:t>
            </w:r>
          </w:p>
        </w:tc>
      </w:tr>
      <w:tr w:rsidR="0073793E" w:rsidRPr="006518BF">
        <w:trPr>
          <w:trHeight w:val="1240"/>
        </w:trPr>
        <w:tc>
          <w:tcPr>
            <w:tcW w:w="2800" w:type="dxa"/>
            <w:tcBorders>
              <w:top w:val="single" w:sz="3" w:space="0" w:color="FFFFFF"/>
              <w:left w:val="single" w:sz="3" w:space="0" w:color="FFFFFF"/>
              <w:bottom w:val="single" w:sz="3" w:space="0" w:color="FFFFFF"/>
              <w:right w:val="single" w:sz="3" w:space="0" w:color="FFFFFF"/>
            </w:tcBorders>
            <w:shd w:val="clear" w:color="auto" w:fill="4F81BD"/>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National Land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Commission Act, 2012 </w:t>
            </w:r>
          </w:p>
        </w:tc>
        <w:tc>
          <w:tcPr>
            <w:tcW w:w="6717" w:type="dxa"/>
            <w:tcBorders>
              <w:top w:val="single" w:sz="3" w:space="0" w:color="FFFFFF"/>
              <w:left w:val="single" w:sz="3" w:space="0" w:color="FFFFFF"/>
              <w:bottom w:val="single" w:sz="3" w:space="0" w:color="FFFFFF"/>
              <w:right w:val="single" w:sz="3" w:space="0" w:color="FFFFFF"/>
            </w:tcBorders>
            <w:shd w:val="clear" w:color="auto" w:fill="DBE5F1"/>
            <w:vAlign w:val="center"/>
          </w:tcPr>
          <w:p w:rsidR="0073793E" w:rsidRPr="006518BF" w:rsidRDefault="0063549C" w:rsidP="006518BF">
            <w:pPr>
              <w:spacing w:after="0" w:line="259" w:lineRule="auto"/>
              <w:ind w:left="1" w:right="60" w:firstLine="0"/>
              <w:rPr>
                <w:rFonts w:ascii="Times New Roman" w:hAnsi="Times New Roman" w:cs="Times New Roman"/>
                <w:sz w:val="24"/>
                <w:szCs w:val="24"/>
              </w:rPr>
            </w:pPr>
            <w:r w:rsidRPr="006518BF">
              <w:rPr>
                <w:rFonts w:ascii="Times New Roman" w:hAnsi="Times New Roman" w:cs="Times New Roman"/>
                <w:sz w:val="24"/>
                <w:szCs w:val="24"/>
              </w:rPr>
              <w:t xml:space="preserve">Provides for County Land Management Boards which are critical in processing Development applications and allocation of public land as well as NLC that will monitor and have oversight responsibilities over land use planning throughout the country </w:t>
            </w:r>
          </w:p>
        </w:tc>
      </w:tr>
      <w:tr w:rsidR="0073793E" w:rsidRPr="006518BF">
        <w:trPr>
          <w:trHeight w:val="1112"/>
        </w:trPr>
        <w:tc>
          <w:tcPr>
            <w:tcW w:w="2800" w:type="dxa"/>
            <w:tcBorders>
              <w:top w:val="single" w:sz="3" w:space="0" w:color="FFFFFF"/>
              <w:left w:val="single" w:sz="3" w:space="0" w:color="FFFFFF"/>
              <w:bottom w:val="single" w:sz="3" w:space="0" w:color="FFFFFF"/>
              <w:right w:val="single" w:sz="3" w:space="0" w:color="FFFFFF"/>
            </w:tcBorders>
            <w:shd w:val="clear" w:color="auto" w:fill="4F81BD"/>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Public Health Act </w:t>
            </w:r>
          </w:p>
        </w:tc>
        <w:tc>
          <w:tcPr>
            <w:tcW w:w="6717" w:type="dxa"/>
            <w:tcBorders>
              <w:top w:val="single" w:sz="3" w:space="0" w:color="FFFFFF"/>
              <w:left w:val="single" w:sz="3" w:space="0" w:color="FFFFFF"/>
              <w:bottom w:val="single" w:sz="3" w:space="0" w:color="FFFFFF"/>
              <w:right w:val="nil"/>
            </w:tcBorders>
            <w:shd w:val="clear" w:color="auto" w:fill="B8CCE4"/>
            <w:vAlign w:val="center"/>
          </w:tcPr>
          <w:p w:rsidR="0073793E" w:rsidRPr="006518BF" w:rsidRDefault="0063549C" w:rsidP="006518BF">
            <w:pPr>
              <w:spacing w:after="120" w:line="238" w:lineRule="auto"/>
              <w:ind w:left="1" w:right="0" w:firstLine="0"/>
              <w:rPr>
                <w:rFonts w:ascii="Times New Roman" w:hAnsi="Times New Roman" w:cs="Times New Roman"/>
                <w:sz w:val="24"/>
                <w:szCs w:val="24"/>
              </w:rPr>
            </w:pPr>
            <w:r w:rsidRPr="006518BF">
              <w:rPr>
                <w:rFonts w:ascii="Times New Roman" w:hAnsi="Times New Roman" w:cs="Times New Roman"/>
                <w:sz w:val="24"/>
                <w:szCs w:val="24"/>
              </w:rPr>
              <w:t xml:space="preserve">To enhance effective management of noxious matter or wastewater discharged variously across the development area. </w:t>
            </w:r>
          </w:p>
          <w:p w:rsidR="0073793E" w:rsidRPr="006518BF" w:rsidRDefault="0063549C" w:rsidP="006518BF">
            <w:pPr>
              <w:spacing w:after="0" w:line="259" w:lineRule="auto"/>
              <w:ind w:left="1" w:right="0" w:firstLine="0"/>
              <w:rPr>
                <w:rFonts w:ascii="Times New Roman" w:hAnsi="Times New Roman" w:cs="Times New Roman"/>
                <w:sz w:val="24"/>
                <w:szCs w:val="24"/>
              </w:rPr>
            </w:pPr>
            <w:r w:rsidRPr="006518BF">
              <w:rPr>
                <w:rFonts w:ascii="Times New Roman" w:hAnsi="Times New Roman" w:cs="Times New Roman"/>
                <w:sz w:val="24"/>
                <w:szCs w:val="24"/>
              </w:rPr>
              <w:t xml:space="preserve"> </w:t>
            </w:r>
          </w:p>
        </w:tc>
      </w:tr>
    </w:tbl>
    <w:p w:rsidR="0073793E" w:rsidRPr="006518BF" w:rsidRDefault="0063549C" w:rsidP="006518BF">
      <w:pPr>
        <w:spacing w:after="98"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lastRenderedPageBreak/>
        <w:t xml:space="preserve">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Policy Instruments </w:t>
      </w:r>
    </w:p>
    <w:p w:rsidR="0073793E" w:rsidRPr="006518BF" w:rsidRDefault="0063549C" w:rsidP="006518BF">
      <w:pPr>
        <w:spacing w:after="148"/>
        <w:ind w:left="-5" w:right="6"/>
        <w:rPr>
          <w:rFonts w:ascii="Times New Roman" w:hAnsi="Times New Roman" w:cs="Times New Roman"/>
          <w:sz w:val="24"/>
          <w:szCs w:val="24"/>
        </w:rPr>
      </w:pPr>
      <w:r w:rsidRPr="006518BF">
        <w:rPr>
          <w:rFonts w:ascii="Times New Roman" w:hAnsi="Times New Roman" w:cs="Times New Roman"/>
          <w:sz w:val="24"/>
          <w:szCs w:val="24"/>
        </w:rPr>
        <w:t xml:space="preserve">In </w:t>
      </w:r>
      <w:proofErr w:type="spellStart"/>
      <w:r w:rsidRPr="006518BF">
        <w:rPr>
          <w:rFonts w:ascii="Times New Roman" w:hAnsi="Times New Roman" w:cs="Times New Roman"/>
          <w:sz w:val="24"/>
          <w:szCs w:val="24"/>
        </w:rPr>
        <w:t>Kenya‟s</w:t>
      </w:r>
      <w:proofErr w:type="spellEnd"/>
      <w:r w:rsidRPr="006518BF">
        <w:rPr>
          <w:rFonts w:ascii="Times New Roman" w:hAnsi="Times New Roman" w:cs="Times New Roman"/>
          <w:sz w:val="24"/>
          <w:szCs w:val="24"/>
        </w:rPr>
        <w:t xml:space="preserve"> development blueprint for 2008-2030 (V</w:t>
      </w:r>
      <w:r w:rsidR="006518BF">
        <w:rPr>
          <w:rFonts w:ascii="Times New Roman" w:hAnsi="Times New Roman" w:cs="Times New Roman"/>
          <w:sz w:val="24"/>
          <w:szCs w:val="24"/>
        </w:rPr>
        <w:t xml:space="preserve">ision 2030), </w:t>
      </w:r>
      <w:proofErr w:type="spellStart"/>
      <w:r w:rsidR="006518BF">
        <w:rPr>
          <w:rFonts w:ascii="Times New Roman" w:hAnsi="Times New Roman" w:cs="Times New Roman"/>
          <w:sz w:val="24"/>
          <w:szCs w:val="24"/>
        </w:rPr>
        <w:t>Ngong</w:t>
      </w:r>
      <w:proofErr w:type="spellEnd"/>
      <w:r w:rsidR="006518BF">
        <w:rPr>
          <w:rFonts w:ascii="Times New Roman" w:hAnsi="Times New Roman" w:cs="Times New Roman"/>
          <w:sz w:val="24"/>
          <w:szCs w:val="24"/>
        </w:rPr>
        <w:t xml:space="preserve"> Municipality’</w:t>
      </w:r>
      <w:r w:rsidRPr="006518BF">
        <w:rPr>
          <w:rFonts w:ascii="Times New Roman" w:hAnsi="Times New Roman" w:cs="Times New Roman"/>
          <w:sz w:val="24"/>
          <w:szCs w:val="24"/>
        </w:rPr>
        <w:t xml:space="preserve">s ISUDP seeks to increase the level of value addition of local agriculture products such as such as cereals, seedlings, livestock products and horticulture products in support of the economic pillar of this vision.  </w:t>
      </w:r>
    </w:p>
    <w:p w:rsidR="0073793E" w:rsidRPr="006518BF" w:rsidRDefault="0063549C" w:rsidP="006518BF">
      <w:pPr>
        <w:spacing w:after="199"/>
        <w:ind w:left="-5" w:right="6"/>
        <w:rPr>
          <w:rFonts w:ascii="Times New Roman" w:hAnsi="Times New Roman" w:cs="Times New Roman"/>
          <w:sz w:val="24"/>
          <w:szCs w:val="24"/>
        </w:rPr>
      </w:pPr>
      <w:r w:rsidRPr="006518BF">
        <w:rPr>
          <w:rFonts w:ascii="Times New Roman" w:hAnsi="Times New Roman" w:cs="Times New Roman"/>
          <w:sz w:val="24"/>
          <w:szCs w:val="24"/>
        </w:rPr>
        <w:t xml:space="preserve">Other policy instruments include: </w:t>
      </w:r>
    </w:p>
    <w:p w:rsidR="0073793E" w:rsidRPr="006518BF" w:rsidRDefault="0063549C" w:rsidP="006518BF">
      <w:pPr>
        <w:pStyle w:val="Heading2"/>
        <w:spacing w:after="131"/>
        <w:ind w:left="370"/>
        <w:jc w:val="both"/>
        <w:rPr>
          <w:rFonts w:ascii="Times New Roman" w:hAnsi="Times New Roman" w:cs="Times New Roman"/>
          <w:sz w:val="24"/>
          <w:szCs w:val="24"/>
        </w:rPr>
      </w:pPr>
      <w:r w:rsidRPr="006518BF">
        <w:rPr>
          <w:rFonts w:ascii="Times New Roman" w:hAnsi="Times New Roman" w:cs="Times New Roman"/>
          <w:sz w:val="24"/>
          <w:szCs w:val="24"/>
        </w:rPr>
        <w:t>a)</w:t>
      </w:r>
      <w:r w:rsidRPr="006518BF">
        <w:rPr>
          <w:rFonts w:ascii="Times New Roman" w:eastAsia="Arial" w:hAnsi="Times New Roman" w:cs="Times New Roman"/>
          <w:sz w:val="24"/>
          <w:szCs w:val="24"/>
        </w:rPr>
        <w:t xml:space="preserve"> </w:t>
      </w:r>
      <w:r w:rsidRPr="006518BF">
        <w:rPr>
          <w:rFonts w:ascii="Times New Roman" w:hAnsi="Times New Roman" w:cs="Times New Roman"/>
          <w:sz w:val="24"/>
          <w:szCs w:val="24"/>
        </w:rPr>
        <w:t xml:space="preserve">National Environment Policy, 2013 </w:t>
      </w:r>
    </w:p>
    <w:p w:rsidR="0073793E" w:rsidRPr="006518BF" w:rsidRDefault="0063549C" w:rsidP="006518BF">
      <w:pPr>
        <w:spacing w:after="139"/>
        <w:ind w:left="-5" w:right="6"/>
        <w:rPr>
          <w:rFonts w:ascii="Times New Roman" w:hAnsi="Times New Roman" w:cs="Times New Roman"/>
          <w:sz w:val="24"/>
          <w:szCs w:val="24"/>
        </w:rPr>
      </w:pPr>
      <w:r w:rsidRPr="006518BF">
        <w:rPr>
          <w:rFonts w:ascii="Times New Roman" w:hAnsi="Times New Roman" w:cs="Times New Roman"/>
          <w:sz w:val="24"/>
          <w:szCs w:val="24"/>
        </w:rPr>
        <w:t xml:space="preserve">This ISUDP recognizes the importance of the link between development and sustainable environment, with regards to the provisions of National Environment Policy, 2013. This is by:  </w:t>
      </w:r>
    </w:p>
    <w:p w:rsidR="0073793E" w:rsidRPr="006518BF" w:rsidRDefault="0063549C" w:rsidP="006518BF">
      <w:pPr>
        <w:numPr>
          <w:ilvl w:val="0"/>
          <w:numId w:val="2"/>
        </w:numPr>
        <w:ind w:right="6"/>
        <w:rPr>
          <w:rFonts w:ascii="Times New Roman" w:hAnsi="Times New Roman" w:cs="Times New Roman"/>
          <w:sz w:val="24"/>
          <w:szCs w:val="24"/>
        </w:rPr>
      </w:pPr>
      <w:r w:rsidRPr="006518BF">
        <w:rPr>
          <w:rFonts w:ascii="Times New Roman" w:hAnsi="Times New Roman" w:cs="Times New Roman"/>
          <w:sz w:val="24"/>
          <w:szCs w:val="24"/>
        </w:rPr>
        <w:t xml:space="preserve">Addressing environmental degradation issues and challenges facing the sub county which include high rate of population growth, inappropriate technology application, unsustainable consumption and production patterns, increased incidences of poverty and climate change;  </w:t>
      </w:r>
    </w:p>
    <w:p w:rsidR="0073793E" w:rsidRPr="006518BF" w:rsidRDefault="0063549C" w:rsidP="006518BF">
      <w:pPr>
        <w:numPr>
          <w:ilvl w:val="0"/>
          <w:numId w:val="2"/>
        </w:numPr>
        <w:ind w:right="6"/>
        <w:rPr>
          <w:rFonts w:ascii="Times New Roman" w:hAnsi="Times New Roman" w:cs="Times New Roman"/>
          <w:sz w:val="24"/>
          <w:szCs w:val="24"/>
        </w:rPr>
      </w:pPr>
      <w:r w:rsidRPr="006518BF">
        <w:rPr>
          <w:rFonts w:ascii="Times New Roman" w:hAnsi="Times New Roman" w:cs="Times New Roman"/>
          <w:sz w:val="24"/>
          <w:szCs w:val="24"/>
        </w:rPr>
        <w:t xml:space="preserve">Providing a framework for an integrated approach to planning and </w:t>
      </w:r>
      <w:r w:rsidR="006518BF">
        <w:rPr>
          <w:rFonts w:ascii="Times New Roman" w:hAnsi="Times New Roman" w:cs="Times New Roman"/>
          <w:sz w:val="24"/>
          <w:szCs w:val="24"/>
        </w:rPr>
        <w:t>sustainable management of Kenya’</w:t>
      </w:r>
      <w:r w:rsidRPr="006518BF">
        <w:rPr>
          <w:rFonts w:ascii="Times New Roman" w:hAnsi="Times New Roman" w:cs="Times New Roman"/>
          <w:sz w:val="24"/>
          <w:szCs w:val="24"/>
        </w:rPr>
        <w:t xml:space="preserve">s environment and natural resources;  </w:t>
      </w:r>
    </w:p>
    <w:p w:rsidR="006518BF" w:rsidRDefault="0063549C" w:rsidP="006518BF">
      <w:pPr>
        <w:numPr>
          <w:ilvl w:val="0"/>
          <w:numId w:val="2"/>
        </w:numPr>
        <w:ind w:right="6"/>
        <w:rPr>
          <w:rFonts w:ascii="Times New Roman" w:hAnsi="Times New Roman" w:cs="Times New Roman"/>
          <w:sz w:val="24"/>
          <w:szCs w:val="24"/>
        </w:rPr>
      </w:pPr>
      <w:r w:rsidRPr="006518BF">
        <w:rPr>
          <w:rFonts w:ascii="Times New Roman" w:hAnsi="Times New Roman" w:cs="Times New Roman"/>
          <w:sz w:val="24"/>
          <w:szCs w:val="24"/>
        </w:rPr>
        <w:t xml:space="preserve">Ensuring sustainable management of the environment and natural resources, such as unique terrestrial and aquatic ecosystems, for both county and national economic growth and improved livelihoods; and </w:t>
      </w:r>
    </w:p>
    <w:p w:rsidR="0073793E" w:rsidRPr="006518BF" w:rsidRDefault="0063549C" w:rsidP="006518BF">
      <w:pPr>
        <w:numPr>
          <w:ilvl w:val="0"/>
          <w:numId w:val="2"/>
        </w:numPr>
        <w:ind w:right="6"/>
        <w:rPr>
          <w:rFonts w:ascii="Times New Roman" w:hAnsi="Times New Roman" w:cs="Times New Roman"/>
          <w:sz w:val="24"/>
          <w:szCs w:val="24"/>
        </w:rPr>
      </w:pPr>
      <w:r w:rsidRPr="006518BF">
        <w:rPr>
          <w:rFonts w:ascii="Times New Roman" w:hAnsi="Times New Roman" w:cs="Times New Roman"/>
          <w:sz w:val="24"/>
          <w:szCs w:val="24"/>
        </w:rPr>
        <w:t xml:space="preserve">Promoting and enhancing cooperation, collaboration, synergy, partnerships and participation in the protection, conservation, sustainable management of the environment and natural resources. </w:t>
      </w:r>
    </w:p>
    <w:p w:rsidR="0073793E" w:rsidRPr="006518BF" w:rsidRDefault="0063549C" w:rsidP="006518BF">
      <w:pPr>
        <w:spacing w:after="157"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 </w:t>
      </w:r>
    </w:p>
    <w:p w:rsidR="0073793E" w:rsidRPr="006518BF" w:rsidRDefault="0063549C" w:rsidP="006518BF">
      <w:pPr>
        <w:pStyle w:val="Heading2"/>
        <w:spacing w:after="131"/>
        <w:ind w:left="370"/>
        <w:jc w:val="both"/>
        <w:rPr>
          <w:rFonts w:ascii="Times New Roman" w:hAnsi="Times New Roman" w:cs="Times New Roman"/>
          <w:sz w:val="24"/>
          <w:szCs w:val="24"/>
        </w:rPr>
      </w:pPr>
      <w:r w:rsidRPr="006518BF">
        <w:rPr>
          <w:rFonts w:ascii="Times New Roman" w:hAnsi="Times New Roman" w:cs="Times New Roman"/>
          <w:sz w:val="24"/>
          <w:szCs w:val="24"/>
        </w:rPr>
        <w:t>b)</w:t>
      </w:r>
      <w:r w:rsidRPr="006518BF">
        <w:rPr>
          <w:rFonts w:ascii="Times New Roman" w:eastAsia="Arial" w:hAnsi="Times New Roman" w:cs="Times New Roman"/>
          <w:sz w:val="24"/>
          <w:szCs w:val="24"/>
        </w:rPr>
        <w:t xml:space="preserve"> </w:t>
      </w:r>
      <w:r w:rsidRPr="006518BF">
        <w:rPr>
          <w:rFonts w:ascii="Times New Roman" w:hAnsi="Times New Roman" w:cs="Times New Roman"/>
          <w:sz w:val="24"/>
          <w:szCs w:val="24"/>
        </w:rPr>
        <w:t xml:space="preserve">Sessional Paper No. 3 of 2009 on National Land Policy </w:t>
      </w:r>
    </w:p>
    <w:p w:rsidR="0073793E" w:rsidRPr="006518BF" w:rsidRDefault="0063549C" w:rsidP="006518BF">
      <w:pPr>
        <w:spacing w:after="198"/>
        <w:ind w:left="-5" w:right="6"/>
        <w:rPr>
          <w:rFonts w:ascii="Times New Roman" w:hAnsi="Times New Roman" w:cs="Times New Roman"/>
          <w:sz w:val="24"/>
          <w:szCs w:val="24"/>
        </w:rPr>
      </w:pPr>
      <w:r w:rsidRPr="006518BF">
        <w:rPr>
          <w:rFonts w:ascii="Times New Roman" w:hAnsi="Times New Roman" w:cs="Times New Roman"/>
          <w:sz w:val="24"/>
          <w:szCs w:val="24"/>
        </w:rPr>
        <w:t xml:space="preserve">This provides an overall framework and defines the key measures required to address among others, the critical issues on land, land use planning, environmental degradation, conflicts and unplanned proliferation of informal urban settlements, outdated legal framework, institutional framework and information management. In tandem with the provisions of this policy, the ISUDP has promoted and encouraged multi-sectoral approach to land use, provision of social, economic and other incentives and put in place an enabling environment for investment, agriculture, livestock development and the exploitation of natural resources. </w:t>
      </w:r>
    </w:p>
    <w:p w:rsidR="0073793E" w:rsidRPr="006518BF" w:rsidRDefault="0063549C" w:rsidP="006518BF">
      <w:pPr>
        <w:pStyle w:val="Heading2"/>
        <w:spacing w:after="131"/>
        <w:ind w:left="370"/>
        <w:jc w:val="both"/>
        <w:rPr>
          <w:rFonts w:ascii="Times New Roman" w:hAnsi="Times New Roman" w:cs="Times New Roman"/>
          <w:sz w:val="24"/>
          <w:szCs w:val="24"/>
        </w:rPr>
      </w:pPr>
      <w:r w:rsidRPr="006518BF">
        <w:rPr>
          <w:rFonts w:ascii="Times New Roman" w:hAnsi="Times New Roman" w:cs="Times New Roman"/>
          <w:sz w:val="24"/>
          <w:szCs w:val="24"/>
        </w:rPr>
        <w:t>c)</w:t>
      </w:r>
      <w:r w:rsidRPr="006518BF">
        <w:rPr>
          <w:rFonts w:ascii="Times New Roman" w:eastAsia="Arial" w:hAnsi="Times New Roman" w:cs="Times New Roman"/>
          <w:sz w:val="24"/>
          <w:szCs w:val="24"/>
        </w:rPr>
        <w:t xml:space="preserve"> </w:t>
      </w:r>
      <w:r w:rsidRPr="006518BF">
        <w:rPr>
          <w:rFonts w:ascii="Times New Roman" w:hAnsi="Times New Roman" w:cs="Times New Roman"/>
          <w:sz w:val="24"/>
          <w:szCs w:val="24"/>
        </w:rPr>
        <w:t xml:space="preserve">Sessional Paper No. 1 of 2017 on National Land Use Policy  </w:t>
      </w:r>
    </w:p>
    <w:p w:rsidR="0073793E" w:rsidRPr="006518BF" w:rsidRDefault="0063549C" w:rsidP="006518BF">
      <w:pPr>
        <w:spacing w:after="143"/>
        <w:ind w:left="-5" w:right="6"/>
        <w:rPr>
          <w:rFonts w:ascii="Times New Roman" w:hAnsi="Times New Roman" w:cs="Times New Roman"/>
          <w:sz w:val="24"/>
          <w:szCs w:val="24"/>
        </w:rPr>
      </w:pPr>
      <w:r w:rsidRPr="006518BF">
        <w:rPr>
          <w:rFonts w:ascii="Times New Roman" w:hAnsi="Times New Roman" w:cs="Times New Roman"/>
          <w:sz w:val="24"/>
          <w:szCs w:val="24"/>
        </w:rPr>
        <w:t xml:space="preserve">This policy emphasizes the importance of land as a resource for the economic life of a majority of people in Kenya. The way people handle and use land resource is decisive for their social and economic well-being as well as for the sustained quality of land resources. In keeping with this policy, this ISUDP seeks to strike a balance between satisfying the human livelihood needs and sustainable use of resources for posterity. This has been taken into consideration in the ISUDP through:  </w:t>
      </w:r>
    </w:p>
    <w:p w:rsidR="0073793E" w:rsidRPr="006518BF" w:rsidRDefault="0063549C" w:rsidP="006518BF">
      <w:pPr>
        <w:numPr>
          <w:ilvl w:val="0"/>
          <w:numId w:val="3"/>
        </w:numPr>
        <w:spacing w:after="143"/>
        <w:ind w:right="6" w:hanging="288"/>
        <w:rPr>
          <w:rFonts w:ascii="Times New Roman" w:hAnsi="Times New Roman" w:cs="Times New Roman"/>
          <w:sz w:val="24"/>
          <w:szCs w:val="24"/>
        </w:rPr>
      </w:pPr>
      <w:r w:rsidRPr="006518BF">
        <w:rPr>
          <w:rFonts w:ascii="Times New Roman" w:hAnsi="Times New Roman" w:cs="Times New Roman"/>
          <w:sz w:val="24"/>
          <w:szCs w:val="24"/>
        </w:rPr>
        <w:t xml:space="preserve">Anchoring the sub county land development initiatives that will respond positively to the market demands;  </w:t>
      </w:r>
    </w:p>
    <w:p w:rsidR="0073793E" w:rsidRPr="006518BF" w:rsidRDefault="0063549C" w:rsidP="006518BF">
      <w:pPr>
        <w:numPr>
          <w:ilvl w:val="0"/>
          <w:numId w:val="3"/>
        </w:numPr>
        <w:spacing w:after="145"/>
        <w:ind w:right="6" w:hanging="288"/>
        <w:rPr>
          <w:rFonts w:ascii="Times New Roman" w:hAnsi="Times New Roman" w:cs="Times New Roman"/>
          <w:sz w:val="24"/>
          <w:szCs w:val="24"/>
        </w:rPr>
      </w:pPr>
      <w:r w:rsidRPr="006518BF">
        <w:rPr>
          <w:rFonts w:ascii="Times New Roman" w:hAnsi="Times New Roman" w:cs="Times New Roman"/>
          <w:sz w:val="24"/>
          <w:szCs w:val="24"/>
        </w:rPr>
        <w:lastRenderedPageBreak/>
        <w:t xml:space="preserve">Environmental management and sustainable production initiatives in the utilization of land resources;  </w:t>
      </w:r>
    </w:p>
    <w:p w:rsidR="0073793E" w:rsidRPr="006518BF" w:rsidRDefault="0063549C" w:rsidP="006518BF">
      <w:pPr>
        <w:numPr>
          <w:ilvl w:val="0"/>
          <w:numId w:val="3"/>
        </w:numPr>
        <w:spacing w:after="143"/>
        <w:ind w:right="6" w:hanging="288"/>
        <w:rPr>
          <w:rFonts w:ascii="Times New Roman" w:hAnsi="Times New Roman" w:cs="Times New Roman"/>
          <w:sz w:val="24"/>
          <w:szCs w:val="24"/>
        </w:rPr>
      </w:pPr>
      <w:r w:rsidRPr="006518BF">
        <w:rPr>
          <w:rFonts w:ascii="Times New Roman" w:hAnsi="Times New Roman" w:cs="Times New Roman"/>
          <w:sz w:val="24"/>
          <w:szCs w:val="24"/>
        </w:rPr>
        <w:t xml:space="preserve">Coordination and integration of institutional linkages in planning at sectoral and cross-sectoral levels to foster collaboration and decision making among different land users; and  </w:t>
      </w:r>
    </w:p>
    <w:p w:rsidR="0073793E" w:rsidRPr="006518BF" w:rsidRDefault="0063549C" w:rsidP="006518BF">
      <w:pPr>
        <w:numPr>
          <w:ilvl w:val="0"/>
          <w:numId w:val="3"/>
        </w:numPr>
        <w:spacing w:after="197"/>
        <w:ind w:right="6" w:hanging="288"/>
        <w:rPr>
          <w:rFonts w:ascii="Times New Roman" w:hAnsi="Times New Roman" w:cs="Times New Roman"/>
          <w:sz w:val="24"/>
          <w:szCs w:val="24"/>
        </w:rPr>
      </w:pPr>
      <w:r w:rsidRPr="006518BF">
        <w:rPr>
          <w:rFonts w:ascii="Times New Roman" w:hAnsi="Times New Roman" w:cs="Times New Roman"/>
          <w:sz w:val="24"/>
          <w:szCs w:val="24"/>
        </w:rPr>
        <w:t xml:space="preserve">Optimum utilization of land resources to meet governance, social-economic, political and cultural obligations of the people of the county and Kenya at large. </w:t>
      </w:r>
    </w:p>
    <w:p w:rsidR="0073793E" w:rsidRPr="006518BF" w:rsidRDefault="0063549C" w:rsidP="006518BF">
      <w:pPr>
        <w:pStyle w:val="Heading2"/>
        <w:spacing w:after="131"/>
        <w:ind w:left="370"/>
        <w:jc w:val="both"/>
        <w:rPr>
          <w:rFonts w:ascii="Times New Roman" w:hAnsi="Times New Roman" w:cs="Times New Roman"/>
          <w:sz w:val="24"/>
          <w:szCs w:val="24"/>
        </w:rPr>
      </w:pPr>
      <w:r w:rsidRPr="006518BF">
        <w:rPr>
          <w:rFonts w:ascii="Times New Roman" w:hAnsi="Times New Roman" w:cs="Times New Roman"/>
          <w:sz w:val="24"/>
          <w:szCs w:val="24"/>
        </w:rPr>
        <w:t>d)</w:t>
      </w:r>
      <w:r w:rsidRPr="006518BF">
        <w:rPr>
          <w:rFonts w:ascii="Times New Roman" w:eastAsia="Arial" w:hAnsi="Times New Roman" w:cs="Times New Roman"/>
          <w:sz w:val="24"/>
          <w:szCs w:val="24"/>
        </w:rPr>
        <w:t xml:space="preserve"> </w:t>
      </w:r>
      <w:r w:rsidRPr="006518BF">
        <w:rPr>
          <w:rFonts w:ascii="Times New Roman" w:hAnsi="Times New Roman" w:cs="Times New Roman"/>
          <w:sz w:val="24"/>
          <w:szCs w:val="24"/>
        </w:rPr>
        <w:t xml:space="preserve">Other relevant policies </w:t>
      </w:r>
    </w:p>
    <w:p w:rsidR="0073793E" w:rsidRPr="006518BF" w:rsidRDefault="0063549C" w:rsidP="006518BF">
      <w:pPr>
        <w:spacing w:after="10"/>
        <w:ind w:left="-5" w:right="6"/>
        <w:rPr>
          <w:rFonts w:ascii="Times New Roman" w:hAnsi="Times New Roman" w:cs="Times New Roman"/>
          <w:sz w:val="24"/>
          <w:szCs w:val="24"/>
        </w:rPr>
      </w:pPr>
      <w:r w:rsidRPr="006518BF">
        <w:rPr>
          <w:rFonts w:ascii="Times New Roman" w:hAnsi="Times New Roman" w:cs="Times New Roman"/>
          <w:sz w:val="24"/>
          <w:szCs w:val="24"/>
        </w:rPr>
        <w:t xml:space="preserve">Other relevant policies that the ISUDP has considered and integrated are </w:t>
      </w:r>
      <w:proofErr w:type="spellStart"/>
      <w:r w:rsidRPr="006518BF">
        <w:rPr>
          <w:rFonts w:ascii="Times New Roman" w:hAnsi="Times New Roman" w:cs="Times New Roman"/>
          <w:sz w:val="24"/>
          <w:szCs w:val="24"/>
        </w:rPr>
        <w:t>summarised</w:t>
      </w:r>
      <w:proofErr w:type="spellEnd"/>
      <w:r w:rsidRPr="006518BF">
        <w:rPr>
          <w:rFonts w:ascii="Times New Roman" w:hAnsi="Times New Roman" w:cs="Times New Roman"/>
          <w:sz w:val="24"/>
          <w:szCs w:val="24"/>
        </w:rPr>
        <w:t xml:space="preserve"> in table below: </w:t>
      </w:r>
    </w:p>
    <w:tbl>
      <w:tblPr>
        <w:tblStyle w:val="TableGrid"/>
        <w:tblW w:w="9789" w:type="dxa"/>
        <w:tblInd w:w="-391" w:type="dxa"/>
        <w:tblCellMar>
          <w:top w:w="167" w:type="dxa"/>
          <w:left w:w="107" w:type="dxa"/>
          <w:right w:w="55" w:type="dxa"/>
        </w:tblCellMar>
        <w:tblLook w:val="04A0" w:firstRow="1" w:lastRow="0" w:firstColumn="1" w:lastColumn="0" w:noHBand="0" w:noVBand="1"/>
      </w:tblPr>
      <w:tblGrid>
        <w:gridCol w:w="2860"/>
        <w:gridCol w:w="6929"/>
      </w:tblGrid>
      <w:tr w:rsidR="0073793E" w:rsidRPr="006518BF">
        <w:trPr>
          <w:trHeight w:val="519"/>
        </w:trPr>
        <w:tc>
          <w:tcPr>
            <w:tcW w:w="2860" w:type="dxa"/>
            <w:tcBorders>
              <w:top w:val="single" w:sz="3" w:space="0" w:color="FFFFFF"/>
              <w:left w:val="single" w:sz="3" w:space="0" w:color="FFFFFF"/>
              <w:bottom w:val="single" w:sz="3" w:space="0" w:color="FFFFFF"/>
              <w:right w:val="nil"/>
            </w:tcBorders>
            <w:shd w:val="clear" w:color="auto" w:fill="4F81BD"/>
            <w:vAlign w:val="center"/>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Policy  </w:t>
            </w:r>
          </w:p>
        </w:tc>
        <w:tc>
          <w:tcPr>
            <w:tcW w:w="6929" w:type="dxa"/>
            <w:tcBorders>
              <w:top w:val="single" w:sz="3" w:space="0" w:color="FFFFFF"/>
              <w:left w:val="nil"/>
              <w:bottom w:val="single" w:sz="3" w:space="0" w:color="FFFFFF"/>
              <w:right w:val="single" w:sz="3" w:space="0" w:color="FFFFFF"/>
            </w:tcBorders>
            <w:shd w:val="clear" w:color="auto" w:fill="4F81BD"/>
            <w:vAlign w:val="center"/>
          </w:tcPr>
          <w:p w:rsidR="0073793E" w:rsidRPr="006518BF" w:rsidRDefault="0063549C" w:rsidP="006518BF">
            <w:pPr>
              <w:spacing w:after="0" w:line="259" w:lineRule="auto"/>
              <w:ind w:left="1"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Relevance  </w:t>
            </w:r>
          </w:p>
        </w:tc>
      </w:tr>
      <w:tr w:rsidR="0073793E" w:rsidRPr="006518BF">
        <w:trPr>
          <w:trHeight w:val="520"/>
        </w:trPr>
        <w:tc>
          <w:tcPr>
            <w:tcW w:w="2860" w:type="dxa"/>
            <w:tcBorders>
              <w:top w:val="single" w:sz="3" w:space="0" w:color="FFFFFF"/>
              <w:left w:val="single" w:sz="3" w:space="0" w:color="FFFFFF"/>
              <w:bottom w:val="single" w:sz="3" w:space="0" w:color="FFFFFF"/>
              <w:right w:val="single" w:sz="3" w:space="0" w:color="FFFFFF"/>
            </w:tcBorders>
            <w:shd w:val="clear" w:color="auto" w:fill="4F81BD"/>
            <w:vAlign w:val="center"/>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 </w:t>
            </w:r>
          </w:p>
        </w:tc>
        <w:tc>
          <w:tcPr>
            <w:tcW w:w="6929" w:type="dxa"/>
            <w:tcBorders>
              <w:top w:val="single" w:sz="3" w:space="0" w:color="FFFFFF"/>
              <w:left w:val="single" w:sz="3" w:space="0" w:color="FFFFFF"/>
              <w:bottom w:val="single" w:sz="3" w:space="0" w:color="FFFFFF"/>
              <w:right w:val="single" w:sz="3" w:space="0" w:color="FFFFFF"/>
            </w:tcBorders>
            <w:shd w:val="clear" w:color="auto" w:fill="B8CCE4"/>
            <w:vAlign w:val="center"/>
          </w:tcPr>
          <w:p w:rsidR="0073793E" w:rsidRPr="006518BF" w:rsidRDefault="0063549C" w:rsidP="006518BF">
            <w:pPr>
              <w:spacing w:after="0" w:line="259" w:lineRule="auto"/>
              <w:ind w:left="1" w:right="0" w:firstLine="0"/>
              <w:rPr>
                <w:rFonts w:ascii="Times New Roman" w:hAnsi="Times New Roman" w:cs="Times New Roman"/>
                <w:sz w:val="24"/>
                <w:szCs w:val="24"/>
              </w:rPr>
            </w:pPr>
            <w:r w:rsidRPr="006518BF">
              <w:rPr>
                <w:rFonts w:ascii="Times New Roman" w:hAnsi="Times New Roman" w:cs="Times New Roman"/>
                <w:sz w:val="24"/>
                <w:szCs w:val="24"/>
              </w:rPr>
              <w:t xml:space="preserve"> </w:t>
            </w:r>
          </w:p>
        </w:tc>
      </w:tr>
      <w:tr w:rsidR="0073793E" w:rsidRPr="006518BF">
        <w:trPr>
          <w:trHeight w:val="1360"/>
        </w:trPr>
        <w:tc>
          <w:tcPr>
            <w:tcW w:w="2860" w:type="dxa"/>
            <w:tcBorders>
              <w:top w:val="single" w:sz="3" w:space="0" w:color="FFFFFF"/>
              <w:left w:val="single" w:sz="3" w:space="0" w:color="FFFFFF"/>
              <w:bottom w:val="single" w:sz="3" w:space="0" w:color="FFFFFF"/>
              <w:right w:val="single" w:sz="3" w:space="0" w:color="FFFFFF"/>
            </w:tcBorders>
            <w:shd w:val="clear" w:color="auto" w:fill="4F81BD"/>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Housing Policy Sessional Paper No. 3 of 2004 </w:t>
            </w:r>
          </w:p>
        </w:tc>
        <w:tc>
          <w:tcPr>
            <w:tcW w:w="6929" w:type="dxa"/>
            <w:tcBorders>
              <w:top w:val="single" w:sz="3" w:space="0" w:color="FFFFFF"/>
              <w:left w:val="single" w:sz="3" w:space="0" w:color="FFFFFF"/>
              <w:bottom w:val="single" w:sz="3" w:space="0" w:color="FFFFFF"/>
              <w:right w:val="single" w:sz="3" w:space="0" w:color="FFFFFF"/>
            </w:tcBorders>
            <w:shd w:val="clear" w:color="auto" w:fill="DBE5F1"/>
            <w:vAlign w:val="center"/>
          </w:tcPr>
          <w:p w:rsidR="0073793E" w:rsidRPr="006518BF" w:rsidRDefault="0063549C" w:rsidP="006518BF">
            <w:pPr>
              <w:spacing w:after="0" w:line="259" w:lineRule="auto"/>
              <w:ind w:left="1" w:right="55" w:firstLine="0"/>
              <w:rPr>
                <w:rFonts w:ascii="Times New Roman" w:hAnsi="Times New Roman" w:cs="Times New Roman"/>
                <w:sz w:val="24"/>
                <w:szCs w:val="24"/>
              </w:rPr>
            </w:pPr>
            <w:r w:rsidRPr="006518BF">
              <w:rPr>
                <w:rFonts w:ascii="Times New Roman" w:hAnsi="Times New Roman" w:cs="Times New Roman"/>
                <w:sz w:val="24"/>
                <w:szCs w:val="24"/>
              </w:rPr>
              <w:t xml:space="preserve">That comprehensively outlines land use planning as a major component of housing in facilitating provisions of adequate shelter and a healthy living environment, at an affordable cost to all socio-economic groups in Kenya in order to foster sustainable human settlements </w:t>
            </w:r>
          </w:p>
        </w:tc>
      </w:tr>
      <w:tr w:rsidR="0073793E" w:rsidRPr="006518BF">
        <w:trPr>
          <w:trHeight w:val="1361"/>
        </w:trPr>
        <w:tc>
          <w:tcPr>
            <w:tcW w:w="2860" w:type="dxa"/>
            <w:tcBorders>
              <w:top w:val="single" w:sz="3" w:space="0" w:color="FFFFFF"/>
              <w:left w:val="single" w:sz="3" w:space="0" w:color="FFFFFF"/>
              <w:bottom w:val="single" w:sz="3" w:space="0" w:color="FFFFFF"/>
              <w:right w:val="single" w:sz="3" w:space="0" w:color="FFFFFF"/>
            </w:tcBorders>
            <w:shd w:val="clear" w:color="auto" w:fill="4F81BD"/>
            <w:vAlign w:val="center"/>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National Information and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Communications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Technology (ICT) policy,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2016 </w:t>
            </w:r>
          </w:p>
        </w:tc>
        <w:tc>
          <w:tcPr>
            <w:tcW w:w="6929" w:type="dxa"/>
            <w:tcBorders>
              <w:top w:val="single" w:sz="3" w:space="0" w:color="FFFFFF"/>
              <w:left w:val="single" w:sz="3" w:space="0" w:color="FFFFFF"/>
              <w:bottom w:val="single" w:sz="3" w:space="0" w:color="FFFFFF"/>
              <w:right w:val="single" w:sz="3" w:space="0" w:color="FFFFFF"/>
            </w:tcBorders>
            <w:shd w:val="clear" w:color="auto" w:fill="B8CCE4"/>
          </w:tcPr>
          <w:p w:rsidR="0073793E" w:rsidRPr="006518BF" w:rsidRDefault="0063549C" w:rsidP="006518BF">
            <w:pPr>
              <w:spacing w:after="0" w:line="259" w:lineRule="auto"/>
              <w:ind w:left="1" w:right="0" w:firstLine="0"/>
              <w:rPr>
                <w:rFonts w:ascii="Times New Roman" w:hAnsi="Times New Roman" w:cs="Times New Roman"/>
                <w:sz w:val="24"/>
                <w:szCs w:val="24"/>
              </w:rPr>
            </w:pPr>
            <w:r w:rsidRPr="006518BF">
              <w:rPr>
                <w:rFonts w:ascii="Times New Roman" w:hAnsi="Times New Roman" w:cs="Times New Roman"/>
                <w:sz w:val="24"/>
                <w:szCs w:val="24"/>
              </w:rPr>
              <w:t xml:space="preserve">Seeks to improve the livelihoods of Kenyans by ensuring the availability of accessible, efficient, reliable and affordable ICT services </w:t>
            </w:r>
          </w:p>
        </w:tc>
      </w:tr>
      <w:tr w:rsidR="0073793E" w:rsidRPr="006518BF">
        <w:trPr>
          <w:trHeight w:val="784"/>
        </w:trPr>
        <w:tc>
          <w:tcPr>
            <w:tcW w:w="2860" w:type="dxa"/>
            <w:tcBorders>
              <w:top w:val="single" w:sz="3" w:space="0" w:color="FFFFFF"/>
              <w:left w:val="single" w:sz="3" w:space="0" w:color="FFFFFF"/>
              <w:bottom w:val="nil"/>
              <w:right w:val="single" w:sz="3" w:space="0" w:color="FFFFFF"/>
            </w:tcBorders>
            <w:shd w:val="clear" w:color="auto" w:fill="4F81BD"/>
            <w:vAlign w:val="center"/>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color w:val="FFFFFF"/>
                <w:sz w:val="24"/>
                <w:szCs w:val="24"/>
              </w:rPr>
              <w:t xml:space="preserve">National Climate Change Response Strategy, 2010 </w:t>
            </w:r>
          </w:p>
        </w:tc>
        <w:tc>
          <w:tcPr>
            <w:tcW w:w="6929" w:type="dxa"/>
            <w:tcBorders>
              <w:top w:val="single" w:sz="3" w:space="0" w:color="FFFFFF"/>
              <w:left w:val="single" w:sz="3" w:space="0" w:color="FFFFFF"/>
              <w:bottom w:val="nil"/>
              <w:right w:val="single" w:sz="3" w:space="0" w:color="FFFFFF"/>
            </w:tcBorders>
            <w:shd w:val="clear" w:color="auto" w:fill="DBE5F1"/>
            <w:vAlign w:val="center"/>
          </w:tcPr>
          <w:p w:rsidR="0073793E" w:rsidRPr="006518BF" w:rsidRDefault="0063549C" w:rsidP="006518BF">
            <w:pPr>
              <w:spacing w:after="0" w:line="259" w:lineRule="auto"/>
              <w:ind w:left="1" w:right="0" w:firstLine="0"/>
              <w:rPr>
                <w:rFonts w:ascii="Times New Roman" w:hAnsi="Times New Roman" w:cs="Times New Roman"/>
                <w:sz w:val="24"/>
                <w:szCs w:val="24"/>
              </w:rPr>
            </w:pPr>
            <w:r w:rsidRPr="006518BF">
              <w:rPr>
                <w:rFonts w:ascii="Times New Roman" w:hAnsi="Times New Roman" w:cs="Times New Roman"/>
                <w:sz w:val="24"/>
                <w:szCs w:val="24"/>
              </w:rPr>
              <w:t xml:space="preserve">Seeks to strengthen and focus nationwide actions towards climate change adaptation and GHG emission mitigation </w:t>
            </w:r>
          </w:p>
        </w:tc>
      </w:tr>
    </w:tbl>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INSTITUTIONAL FRAMEWORK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The ISUDP has acknowledged the major actors and stakeholders who play a vital role in the grow</w:t>
      </w:r>
      <w:r w:rsidR="006518BF">
        <w:rPr>
          <w:rFonts w:ascii="Times New Roman" w:hAnsi="Times New Roman" w:cs="Times New Roman"/>
          <w:sz w:val="24"/>
          <w:szCs w:val="24"/>
        </w:rPr>
        <w:t>th and management of the County’</w:t>
      </w:r>
      <w:r w:rsidRPr="006518BF">
        <w:rPr>
          <w:rFonts w:ascii="Times New Roman" w:hAnsi="Times New Roman" w:cs="Times New Roman"/>
          <w:sz w:val="24"/>
          <w:szCs w:val="24"/>
        </w:rPr>
        <w:t xml:space="preserve">s development agenda. It looks at players who co-ordinate and manage the County and Sub-Counties affairs, and identifies those in charge of the Municipality with a view to creating a clear coordination framework. In this regard, the ISUDP‟s land administration aspects have been handled by the National Land Commission (NLC), Ministry of Lands and the County Land Management Boards. </w:t>
      </w:r>
    </w:p>
    <w:p w:rsidR="0073793E" w:rsidRPr="006518BF" w:rsidRDefault="0063549C" w:rsidP="006518BF">
      <w:pPr>
        <w:spacing w:after="116" w:line="238" w:lineRule="auto"/>
        <w:ind w:left="-5" w:right="0"/>
        <w:rPr>
          <w:rFonts w:ascii="Times New Roman" w:hAnsi="Times New Roman" w:cs="Times New Roman"/>
          <w:sz w:val="24"/>
          <w:szCs w:val="24"/>
        </w:rPr>
      </w:pPr>
      <w:r w:rsidRPr="006518BF">
        <w:rPr>
          <w:rFonts w:ascii="Times New Roman" w:hAnsi="Times New Roman" w:cs="Times New Roman"/>
          <w:sz w:val="24"/>
          <w:szCs w:val="24"/>
        </w:rPr>
        <w:t xml:space="preserve">In addition, the ISUDP defines the role and the interrelationships of the National and County Governments, as well as the County Land Control Boards and the roles of National Land Commission (NLC) and the Land Courts.  </w:t>
      </w:r>
    </w:p>
    <w:p w:rsidR="006518BF" w:rsidRDefault="006518BF" w:rsidP="006518BF">
      <w:pPr>
        <w:pStyle w:val="Heading2"/>
        <w:ind w:left="-5"/>
        <w:jc w:val="center"/>
        <w:rPr>
          <w:rFonts w:ascii="Times New Roman" w:hAnsi="Times New Roman" w:cs="Times New Roman"/>
          <w:sz w:val="24"/>
          <w:szCs w:val="24"/>
        </w:rPr>
      </w:pPr>
      <w:r>
        <w:rPr>
          <w:rFonts w:ascii="Times New Roman" w:hAnsi="Times New Roman" w:cs="Times New Roman"/>
          <w:sz w:val="24"/>
          <w:szCs w:val="24"/>
        </w:rPr>
        <w:t>CHAPTER 3</w:t>
      </w:r>
    </w:p>
    <w:p w:rsidR="0073793E" w:rsidRPr="006518BF" w:rsidRDefault="0063549C" w:rsidP="006518BF">
      <w:pPr>
        <w:pStyle w:val="Heading2"/>
        <w:ind w:left="-5"/>
        <w:jc w:val="center"/>
        <w:rPr>
          <w:rFonts w:ascii="Times New Roman" w:hAnsi="Times New Roman" w:cs="Times New Roman"/>
          <w:sz w:val="24"/>
          <w:szCs w:val="24"/>
        </w:rPr>
      </w:pPr>
      <w:r w:rsidRPr="006518BF">
        <w:rPr>
          <w:rFonts w:ascii="Times New Roman" w:hAnsi="Times New Roman" w:cs="Times New Roman"/>
          <w:sz w:val="24"/>
          <w:szCs w:val="24"/>
        </w:rPr>
        <w:t>THE SITUATIONAL ANALYSIS</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This chapter provides a situational analysis of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Municipality.  It identifies the administrative units involved, further clarifying the environment and natural resources of the planning area, including the topography, geology and soils, available water resources, and other climate related </w:t>
      </w:r>
      <w:r w:rsidRPr="006518BF">
        <w:rPr>
          <w:rFonts w:ascii="Times New Roman" w:hAnsi="Times New Roman" w:cs="Times New Roman"/>
          <w:sz w:val="24"/>
          <w:szCs w:val="24"/>
        </w:rPr>
        <w:lastRenderedPageBreak/>
        <w:t xml:space="preserve">factors that influence the environment in the planning area, e.g. rainfall, wind etc. It also identifies the climatic vulnerability among other natural elements.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section also addresses the population and demographic aspects of the planning area, citing the growth projections as the basis for the ISUDP. It also looks at the major economic activities of the urban residents that can be promoted to spur the intended economic growth and development of the new Municipality. In line with the NMR development, population growth is seen as an opportunity rather than a challenge and a catalyst for increased development in the region. It specifically identifies the growth of sector-driven cooperative societies as one of the most important forces in increasing the Municipalities investment capacity.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On the other hand, the ISUDP also looks at the urban growth and development trends; general land use patterns; land market dynamics, administration and management and reflects this against urban growth scenarios. This will allow the development of </w:t>
      </w:r>
      <w:proofErr w:type="spellStart"/>
      <w:r w:rsidRPr="006518BF">
        <w:rPr>
          <w:rFonts w:ascii="Times New Roman" w:hAnsi="Times New Roman" w:cs="Times New Roman"/>
          <w:sz w:val="24"/>
          <w:szCs w:val="24"/>
        </w:rPr>
        <w:t>customised</w:t>
      </w:r>
      <w:proofErr w:type="spellEnd"/>
      <w:r w:rsidRPr="006518BF">
        <w:rPr>
          <w:rFonts w:ascii="Times New Roman" w:hAnsi="Times New Roman" w:cs="Times New Roman"/>
          <w:sz w:val="24"/>
          <w:szCs w:val="24"/>
        </w:rPr>
        <w:t xml:space="preserve"> development models that fit the planning area.  </w:t>
      </w:r>
    </w:p>
    <w:p w:rsidR="0073793E" w:rsidRPr="006518BF" w:rsidRDefault="0063549C" w:rsidP="006518BF">
      <w:pPr>
        <w:spacing w:after="10"/>
        <w:ind w:left="-5" w:right="6"/>
        <w:rPr>
          <w:rFonts w:ascii="Times New Roman" w:hAnsi="Times New Roman" w:cs="Times New Roman"/>
          <w:sz w:val="24"/>
          <w:szCs w:val="24"/>
        </w:rPr>
      </w:pPr>
      <w:r w:rsidRPr="006518BF">
        <w:rPr>
          <w:rFonts w:ascii="Times New Roman" w:hAnsi="Times New Roman" w:cs="Times New Roman"/>
          <w:sz w:val="24"/>
          <w:szCs w:val="24"/>
        </w:rPr>
        <w:t xml:space="preserve">It reviews the planning areas urban morphology in line with the prospects for urban design improvements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e.g. improvements in pedestrian mobility; provision of adequate vehicle parking facilities; provision of publicly accessible amenities and an enforcement of regulated architectural design standards. The plan provides room for prospects of urban design improvements if and when they will be required.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Transportation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This plan deliberates the aspects involved in transportation and explores providing an efficient system by looking at the existing road types; road condition; surface types; and non-</w:t>
      </w:r>
      <w:proofErr w:type="spellStart"/>
      <w:r w:rsidRPr="006518BF">
        <w:rPr>
          <w:rFonts w:ascii="Times New Roman" w:hAnsi="Times New Roman" w:cs="Times New Roman"/>
          <w:sz w:val="24"/>
          <w:szCs w:val="24"/>
        </w:rPr>
        <w:t>motorised</w:t>
      </w:r>
      <w:proofErr w:type="spellEnd"/>
      <w:r w:rsidRPr="006518BF">
        <w:rPr>
          <w:rFonts w:ascii="Times New Roman" w:hAnsi="Times New Roman" w:cs="Times New Roman"/>
          <w:sz w:val="24"/>
          <w:szCs w:val="24"/>
        </w:rPr>
        <w:t xml:space="preserve"> transport components and modes. In this reign, there are on-going and planned plans in the planning area. Currently there has been a national rail transport infrastructure reform that has seen Phase 2 of SGR (Nairobi-</w:t>
      </w:r>
      <w:proofErr w:type="spellStart"/>
      <w:r w:rsidRPr="006518BF">
        <w:rPr>
          <w:rFonts w:ascii="Times New Roman" w:hAnsi="Times New Roman" w:cs="Times New Roman"/>
          <w:sz w:val="24"/>
          <w:szCs w:val="24"/>
        </w:rPr>
        <w:t>Naivasha</w:t>
      </w:r>
      <w:proofErr w:type="spellEnd"/>
      <w:r w:rsidRPr="006518BF">
        <w:rPr>
          <w:rFonts w:ascii="Times New Roman" w:hAnsi="Times New Roman" w:cs="Times New Roman"/>
          <w:sz w:val="24"/>
          <w:szCs w:val="24"/>
        </w:rPr>
        <w:t xml:space="preserve"> Rail line) passing through </w:t>
      </w:r>
      <w:proofErr w:type="spellStart"/>
      <w:r w:rsidRPr="006518BF">
        <w:rPr>
          <w:rFonts w:ascii="Times New Roman" w:hAnsi="Times New Roman" w:cs="Times New Roman"/>
          <w:sz w:val="24"/>
          <w:szCs w:val="24"/>
        </w:rPr>
        <w:t>Ongata</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Rongai</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Kibiko</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Kandisi</w:t>
      </w:r>
      <w:proofErr w:type="spellEnd"/>
      <w:r w:rsidRPr="006518BF">
        <w:rPr>
          <w:rFonts w:ascii="Times New Roman" w:hAnsi="Times New Roman" w:cs="Times New Roman"/>
          <w:sz w:val="24"/>
          <w:szCs w:val="24"/>
        </w:rPr>
        <w:t xml:space="preserve"> and </w:t>
      </w:r>
      <w:proofErr w:type="spellStart"/>
      <w:r w:rsidRPr="006518BF">
        <w:rPr>
          <w:rFonts w:ascii="Times New Roman" w:hAnsi="Times New Roman" w:cs="Times New Roman"/>
          <w:sz w:val="24"/>
          <w:szCs w:val="24"/>
        </w:rPr>
        <w:t>Embulbul</w:t>
      </w:r>
      <w:proofErr w:type="spellEnd"/>
      <w:r w:rsidRPr="006518BF">
        <w:rPr>
          <w:rFonts w:ascii="Times New Roman" w:hAnsi="Times New Roman" w:cs="Times New Roman"/>
          <w:sz w:val="24"/>
          <w:szCs w:val="24"/>
        </w:rPr>
        <w:t xml:space="preserve">, where rail station construction is are underway.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PHYSICAL INFRASTRUCTURE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plan discusses improvements in the planning </w:t>
      </w:r>
      <w:proofErr w:type="spellStart"/>
      <w:r w:rsidRPr="006518BF">
        <w:rPr>
          <w:rFonts w:ascii="Times New Roman" w:hAnsi="Times New Roman" w:cs="Times New Roman"/>
          <w:sz w:val="24"/>
          <w:szCs w:val="24"/>
        </w:rPr>
        <w:t>area‟s</w:t>
      </w:r>
      <w:proofErr w:type="spellEnd"/>
      <w:r w:rsidRPr="006518BF">
        <w:rPr>
          <w:rFonts w:ascii="Times New Roman" w:hAnsi="Times New Roman" w:cs="Times New Roman"/>
          <w:sz w:val="24"/>
          <w:szCs w:val="24"/>
        </w:rPr>
        <w:t xml:space="preserve"> physical infrastructure including: </w:t>
      </w:r>
      <w:r w:rsidRPr="006518BF">
        <w:rPr>
          <w:rFonts w:ascii="Times New Roman" w:hAnsi="Times New Roman" w:cs="Times New Roman"/>
          <w:i/>
          <w:sz w:val="24"/>
          <w:szCs w:val="24"/>
        </w:rPr>
        <w:t>Water supply</w:t>
      </w:r>
      <w:r w:rsidRPr="006518BF">
        <w:rPr>
          <w:rFonts w:ascii="Times New Roman" w:hAnsi="Times New Roman" w:cs="Times New Roman"/>
          <w:sz w:val="24"/>
          <w:szCs w:val="24"/>
        </w:rPr>
        <w:t xml:space="preserve"> – through assessing the water demand and supply as well as the planned and on-going initiatives; </w:t>
      </w:r>
      <w:r w:rsidRPr="006518BF">
        <w:rPr>
          <w:rFonts w:ascii="Times New Roman" w:hAnsi="Times New Roman" w:cs="Times New Roman"/>
          <w:i/>
          <w:sz w:val="24"/>
          <w:szCs w:val="24"/>
        </w:rPr>
        <w:t>Energy provision</w:t>
      </w:r>
      <w:r w:rsidRPr="006518BF">
        <w:rPr>
          <w:rFonts w:ascii="Times New Roman" w:hAnsi="Times New Roman" w:cs="Times New Roman"/>
          <w:sz w:val="24"/>
          <w:szCs w:val="24"/>
        </w:rPr>
        <w:t xml:space="preserve"> – in relation to existing sources and potential investment e.g. in biogas, solar and wind expansion; </w:t>
      </w:r>
      <w:r w:rsidRPr="006518BF">
        <w:rPr>
          <w:rFonts w:ascii="Times New Roman" w:hAnsi="Times New Roman" w:cs="Times New Roman"/>
          <w:i/>
          <w:sz w:val="24"/>
          <w:szCs w:val="24"/>
        </w:rPr>
        <w:t>ICT Infrastructure</w:t>
      </w:r>
      <w:r w:rsidRPr="006518BF">
        <w:rPr>
          <w:rFonts w:ascii="Times New Roman" w:hAnsi="Times New Roman" w:cs="Times New Roman"/>
          <w:sz w:val="24"/>
          <w:szCs w:val="24"/>
        </w:rPr>
        <w:t xml:space="preserve"> in line with the growing demand; </w:t>
      </w:r>
      <w:r w:rsidRPr="006518BF">
        <w:rPr>
          <w:rFonts w:ascii="Times New Roman" w:hAnsi="Times New Roman" w:cs="Times New Roman"/>
          <w:i/>
          <w:sz w:val="24"/>
          <w:szCs w:val="24"/>
        </w:rPr>
        <w:t>Solid Waste Management</w:t>
      </w:r>
      <w:r w:rsidRPr="006518BF">
        <w:rPr>
          <w:rFonts w:ascii="Times New Roman" w:hAnsi="Times New Roman" w:cs="Times New Roman"/>
          <w:sz w:val="24"/>
          <w:szCs w:val="24"/>
        </w:rPr>
        <w:t xml:space="preserve"> -  through an integrated and sustainable waste management plan; </w:t>
      </w:r>
      <w:r w:rsidRPr="006518BF">
        <w:rPr>
          <w:rFonts w:ascii="Times New Roman" w:hAnsi="Times New Roman" w:cs="Times New Roman"/>
          <w:i/>
          <w:sz w:val="24"/>
          <w:szCs w:val="24"/>
        </w:rPr>
        <w:t>Waste water</w:t>
      </w:r>
      <w:r w:rsidRPr="006518BF">
        <w:rPr>
          <w:rFonts w:ascii="Times New Roman" w:hAnsi="Times New Roman" w:cs="Times New Roman"/>
          <w:sz w:val="24"/>
          <w:szCs w:val="24"/>
        </w:rPr>
        <w:t xml:space="preserve"> disposal system; and Storm water drainage – tackling recurrent flooding. Currently, there is no sewerage system in </w:t>
      </w:r>
      <w:proofErr w:type="spellStart"/>
      <w:r w:rsidRPr="006518BF">
        <w:rPr>
          <w:rFonts w:ascii="Times New Roman" w:hAnsi="Times New Roman" w:cs="Times New Roman"/>
          <w:sz w:val="24"/>
          <w:szCs w:val="24"/>
        </w:rPr>
        <w:t>Ongata</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Rongai</w:t>
      </w:r>
      <w:proofErr w:type="spellEnd"/>
      <w:r w:rsidRPr="006518BF">
        <w:rPr>
          <w:rFonts w:ascii="Times New Roman" w:hAnsi="Times New Roman" w:cs="Times New Roman"/>
          <w:sz w:val="24"/>
          <w:szCs w:val="24"/>
        </w:rPr>
        <w:t xml:space="preserve"> and </w:t>
      </w:r>
      <w:proofErr w:type="spellStart"/>
      <w:r w:rsidRPr="006518BF">
        <w:rPr>
          <w:rFonts w:ascii="Times New Roman" w:hAnsi="Times New Roman" w:cs="Times New Roman"/>
          <w:sz w:val="24"/>
          <w:szCs w:val="24"/>
        </w:rPr>
        <w:t>Kiserian</w:t>
      </w:r>
      <w:proofErr w:type="spellEnd"/>
      <w:r w:rsidRPr="006518BF">
        <w:rPr>
          <w:rFonts w:ascii="Times New Roman" w:hAnsi="Times New Roman" w:cs="Times New Roman"/>
          <w:sz w:val="24"/>
          <w:szCs w:val="24"/>
        </w:rPr>
        <w:t xml:space="preserve">. This has endangered the environment for example, the </w:t>
      </w:r>
      <w:proofErr w:type="spellStart"/>
      <w:r w:rsidRPr="006518BF">
        <w:rPr>
          <w:rFonts w:ascii="Times New Roman" w:hAnsi="Times New Roman" w:cs="Times New Roman"/>
          <w:sz w:val="24"/>
          <w:szCs w:val="24"/>
        </w:rPr>
        <w:t>Kiserian</w:t>
      </w:r>
      <w:proofErr w:type="spellEnd"/>
      <w:r w:rsidRPr="006518BF">
        <w:rPr>
          <w:rFonts w:ascii="Times New Roman" w:hAnsi="Times New Roman" w:cs="Times New Roman"/>
          <w:sz w:val="24"/>
          <w:szCs w:val="24"/>
        </w:rPr>
        <w:t xml:space="preserve"> Dam has been totally polluted due to dumping of raw sludge from the slaughter house in to the river that feeds in to the dam. The plan proposes an improvement of the dam by diverting the river and clearing the cause of the pollution. In addition, there are ongoing improvement initiatives in </w:t>
      </w:r>
      <w:proofErr w:type="spellStart"/>
      <w:r w:rsidRPr="006518BF">
        <w:rPr>
          <w:rFonts w:ascii="Times New Roman" w:hAnsi="Times New Roman" w:cs="Times New Roman"/>
          <w:sz w:val="24"/>
          <w:szCs w:val="24"/>
        </w:rPr>
        <w:t>Ongata</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Rongai</w:t>
      </w:r>
      <w:proofErr w:type="spellEnd"/>
      <w:r w:rsidRPr="006518BF">
        <w:rPr>
          <w:rFonts w:ascii="Times New Roman" w:hAnsi="Times New Roman" w:cs="Times New Roman"/>
          <w:sz w:val="24"/>
          <w:szCs w:val="24"/>
        </w:rPr>
        <w:t xml:space="preserve"> and in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towns, to deal with storm water and drainage systems.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SOCIAL INFRASTRUCTURE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plan further addresses social infrastructure by looking at housing in relation to building materials, technology and planning; existing tenure types; and the overall housing stock and plans. This is with a view to accommodating the growing demographics against the background of an envisioned growing economy in the planning area. Thus the plan envisions strategic measures in the following key areas: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lastRenderedPageBreak/>
        <w:t xml:space="preserve">Education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ISUDP addresses sector by examining the available Early Childhood Development Education (ECDE) facilities; Primary Schools and available public Secondary Schools in line with planned demand and supply; the intricacies of Adult Education – existing </w:t>
      </w:r>
      <w:proofErr w:type="spellStart"/>
      <w:r w:rsidRPr="006518BF">
        <w:rPr>
          <w:rFonts w:ascii="Times New Roman" w:hAnsi="Times New Roman" w:cs="Times New Roman"/>
          <w:sz w:val="24"/>
          <w:szCs w:val="24"/>
        </w:rPr>
        <w:t>centres</w:t>
      </w:r>
      <w:proofErr w:type="spellEnd"/>
      <w:r w:rsidRPr="006518BF">
        <w:rPr>
          <w:rFonts w:ascii="Times New Roman" w:hAnsi="Times New Roman" w:cs="Times New Roman"/>
          <w:sz w:val="24"/>
          <w:szCs w:val="24"/>
        </w:rPr>
        <w:t xml:space="preserve"> and capacity; Higher Education </w:t>
      </w:r>
      <w:proofErr w:type="gramStart"/>
      <w:r w:rsidRPr="006518BF">
        <w:rPr>
          <w:rFonts w:ascii="Times New Roman" w:hAnsi="Times New Roman" w:cs="Times New Roman"/>
          <w:sz w:val="24"/>
          <w:szCs w:val="24"/>
        </w:rPr>
        <w:t>i.e.</w:t>
      </w:r>
      <w:proofErr w:type="gramEnd"/>
      <w:r w:rsidRPr="006518BF">
        <w:rPr>
          <w:rFonts w:ascii="Times New Roman" w:hAnsi="Times New Roman" w:cs="Times New Roman"/>
          <w:sz w:val="24"/>
          <w:szCs w:val="24"/>
        </w:rPr>
        <w:t xml:space="preserve"> Universities; Special Needs Schools; and Technical and Vocational Education Training Institutes (TVETS). Currently the analysis shows that by the end of 2018, there was an overall deficit of 60 Primary Schools and if this is not addressed, this will have grown to 126, against the growing demand and population – a dire picture. At the same time, although there is no public university in the area and the existing TVET institutes are under resourced and with poor capacity.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Health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In the Health Sector, the plan addresses this in terms of access; available and projected facilities in terms of numbers and types; and overall distribution across the planning area. It also looks at projected demand for the health service and where this applies, the resources required to make them functionally efficient. The plan acknowledges that there are a few public health facilities in the planning area that are inadequate especially in the southern parts of </w:t>
      </w:r>
      <w:proofErr w:type="spellStart"/>
      <w:r w:rsidRPr="006518BF">
        <w:rPr>
          <w:rFonts w:ascii="Times New Roman" w:hAnsi="Times New Roman" w:cs="Times New Roman"/>
          <w:sz w:val="24"/>
          <w:szCs w:val="24"/>
        </w:rPr>
        <w:t>Keekonyokie</w:t>
      </w:r>
      <w:proofErr w:type="spellEnd"/>
      <w:r w:rsidRPr="006518BF">
        <w:rPr>
          <w:rFonts w:ascii="Times New Roman" w:hAnsi="Times New Roman" w:cs="Times New Roman"/>
          <w:sz w:val="24"/>
          <w:szCs w:val="24"/>
        </w:rPr>
        <w:t xml:space="preserve"> and </w:t>
      </w:r>
      <w:proofErr w:type="spellStart"/>
      <w:r w:rsidRPr="006518BF">
        <w:rPr>
          <w:rFonts w:ascii="Times New Roman" w:hAnsi="Times New Roman" w:cs="Times New Roman"/>
          <w:sz w:val="24"/>
          <w:szCs w:val="24"/>
        </w:rPr>
        <w:t>Olkeri</w:t>
      </w:r>
      <w:proofErr w:type="spellEnd"/>
      <w:r w:rsidRPr="006518BF">
        <w:rPr>
          <w:rFonts w:ascii="Times New Roman" w:hAnsi="Times New Roman" w:cs="Times New Roman"/>
          <w:sz w:val="24"/>
          <w:szCs w:val="24"/>
        </w:rPr>
        <w:t xml:space="preserve">. This deficiency has </w:t>
      </w:r>
      <w:r w:rsidR="006518BF" w:rsidRPr="006518BF">
        <w:rPr>
          <w:rFonts w:ascii="Times New Roman" w:hAnsi="Times New Roman" w:cs="Times New Roman"/>
          <w:sz w:val="24"/>
          <w:szCs w:val="24"/>
        </w:rPr>
        <w:t>catalyzed</w:t>
      </w:r>
      <w:r w:rsidRPr="006518BF">
        <w:rPr>
          <w:rFonts w:ascii="Times New Roman" w:hAnsi="Times New Roman" w:cs="Times New Roman"/>
          <w:sz w:val="24"/>
          <w:szCs w:val="24"/>
        </w:rPr>
        <w:t xml:space="preserve"> a proliferation of private medical clinics in the area, most of which are unregistered and do not meet the national health standards.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Community Facilities and Services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It also looks at community facilities and services in relation to sports and recreation; availability of public parks and playgrounds; religious facilities; provision of cremation, cemeteries and burial grounds; and security </w:t>
      </w:r>
      <w:r w:rsidR="006518BF" w:rsidRPr="006518BF">
        <w:rPr>
          <w:rFonts w:ascii="Times New Roman" w:hAnsi="Times New Roman" w:cs="Times New Roman"/>
          <w:sz w:val="24"/>
          <w:szCs w:val="24"/>
        </w:rPr>
        <w:t>centers</w:t>
      </w:r>
      <w:r w:rsidRPr="006518BF">
        <w:rPr>
          <w:rFonts w:ascii="Times New Roman" w:hAnsi="Times New Roman" w:cs="Times New Roman"/>
          <w:sz w:val="24"/>
          <w:szCs w:val="24"/>
        </w:rPr>
        <w:t xml:space="preserve">. The ISUDP has outlined the need for a public cemetery in the Municipality as well as planning for recreation grounds, in line with the global urban standards as this has been conspicuously missing in the planning area.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Culture, Tourism and Heritage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It tackles Culture, Tourism and Heritage by looking at the available i</w:t>
      </w:r>
      <w:r w:rsidR="006518BF">
        <w:rPr>
          <w:rFonts w:ascii="Times New Roman" w:hAnsi="Times New Roman" w:cs="Times New Roman"/>
          <w:sz w:val="24"/>
          <w:szCs w:val="24"/>
        </w:rPr>
        <w:t xml:space="preserve">ndigenous </w:t>
      </w:r>
      <w:proofErr w:type="spellStart"/>
      <w:r w:rsidR="006518BF">
        <w:rPr>
          <w:rFonts w:ascii="Times New Roman" w:hAnsi="Times New Roman" w:cs="Times New Roman"/>
          <w:sz w:val="24"/>
          <w:szCs w:val="24"/>
        </w:rPr>
        <w:t>Maasai</w:t>
      </w:r>
      <w:proofErr w:type="spellEnd"/>
      <w:r w:rsidR="006518BF">
        <w:rPr>
          <w:rFonts w:ascii="Times New Roman" w:hAnsi="Times New Roman" w:cs="Times New Roman"/>
          <w:sz w:val="24"/>
          <w:szCs w:val="24"/>
        </w:rPr>
        <w:t xml:space="preserve"> culture, </w:t>
      </w:r>
      <w:proofErr w:type="spellStart"/>
      <w:r w:rsid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Hills and the historical heritage in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town e.g. old colonial houses and Finch Hutton Graveside. There are also local herbs and herbal medicines collected along the </w:t>
      </w:r>
      <w:proofErr w:type="spellStart"/>
      <w:r w:rsidRPr="006518BF">
        <w:rPr>
          <w:rFonts w:ascii="Times New Roman" w:hAnsi="Times New Roman" w:cs="Times New Roman"/>
          <w:sz w:val="24"/>
          <w:szCs w:val="24"/>
        </w:rPr>
        <w:t>Mbagathi</w:t>
      </w:r>
      <w:proofErr w:type="spellEnd"/>
      <w:r w:rsidRPr="006518BF">
        <w:rPr>
          <w:rFonts w:ascii="Times New Roman" w:hAnsi="Times New Roman" w:cs="Times New Roman"/>
          <w:sz w:val="24"/>
          <w:szCs w:val="24"/>
        </w:rPr>
        <w:t xml:space="preserve"> River. Globally, </w:t>
      </w:r>
      <w:proofErr w:type="spellStart"/>
      <w:r w:rsidRPr="006518BF">
        <w:rPr>
          <w:rFonts w:ascii="Times New Roman" w:hAnsi="Times New Roman" w:cs="Times New Roman"/>
          <w:sz w:val="24"/>
          <w:szCs w:val="24"/>
        </w:rPr>
        <w:t>Maasai</w:t>
      </w:r>
      <w:proofErr w:type="spellEnd"/>
      <w:r w:rsidRPr="006518BF">
        <w:rPr>
          <w:rFonts w:ascii="Times New Roman" w:hAnsi="Times New Roman" w:cs="Times New Roman"/>
          <w:sz w:val="24"/>
          <w:szCs w:val="24"/>
        </w:rPr>
        <w:t xml:space="preserve"> culture is revered and if this was invested in locally within the Municipality, then it would enhance the tourism potential of the area. The plan also provides for a review of the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Hills as a tourist attraction.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 </w:t>
      </w:r>
    </w:p>
    <w:p w:rsid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INFORMAL SETTLEMENTS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Existing Slums and informal settlements in the planning areas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plan lays out an overall view of existing slums and informal settlements in the planning area e.g. Kisumu </w:t>
      </w:r>
      <w:proofErr w:type="spellStart"/>
      <w:r w:rsidRPr="006518BF">
        <w:rPr>
          <w:rFonts w:ascii="Times New Roman" w:hAnsi="Times New Roman" w:cs="Times New Roman"/>
          <w:sz w:val="24"/>
          <w:szCs w:val="24"/>
        </w:rPr>
        <w:t>Ndogo</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Kware</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Mathare</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Kariobangi</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Embulbul</w:t>
      </w:r>
      <w:proofErr w:type="spellEnd"/>
      <w:r w:rsidRPr="006518BF">
        <w:rPr>
          <w:rFonts w:ascii="Times New Roman" w:hAnsi="Times New Roman" w:cs="Times New Roman"/>
          <w:sz w:val="24"/>
          <w:szCs w:val="24"/>
        </w:rPr>
        <w:t xml:space="preserve">), citing priority developmental aspects for each region. It describes the situation in the slums and informal settlements in terms of access to basic services such as water, sanitation, housing, education, and proposes improvements and tenure security. Currently the untethered expansion of these slums and informal settlements presents a worrisome picture for future planning within the Municipality.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GOVERNANCE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The plan</w:t>
      </w:r>
      <w:r w:rsidR="006518BF">
        <w:rPr>
          <w:rFonts w:ascii="Times New Roman" w:hAnsi="Times New Roman" w:cs="Times New Roman"/>
          <w:sz w:val="24"/>
          <w:szCs w:val="24"/>
        </w:rPr>
        <w:t xml:space="preserve"> has reviewed the planning area’</w:t>
      </w:r>
      <w:r w:rsidRPr="006518BF">
        <w:rPr>
          <w:rFonts w:ascii="Times New Roman" w:hAnsi="Times New Roman" w:cs="Times New Roman"/>
          <w:sz w:val="24"/>
          <w:szCs w:val="24"/>
        </w:rPr>
        <w:t xml:space="preserve">s institutional framework, against the intricacies of planning, implementation and monitoring, creating room for amendment. In so doing, the existing gaps will be addressed through a concerted multi-stakeholder approach and public participation. </w:t>
      </w:r>
      <w:r w:rsidRPr="006518BF">
        <w:rPr>
          <w:rFonts w:ascii="Times New Roman" w:hAnsi="Times New Roman" w:cs="Times New Roman"/>
          <w:sz w:val="24"/>
          <w:szCs w:val="24"/>
        </w:rPr>
        <w:lastRenderedPageBreak/>
        <w:t>The ISUDP provides for room for addressing the management framework and establishing links between the County Governme</w:t>
      </w:r>
      <w:r w:rsidR="006518BF">
        <w:rPr>
          <w:rFonts w:ascii="Times New Roman" w:hAnsi="Times New Roman" w:cs="Times New Roman"/>
          <w:sz w:val="24"/>
          <w:szCs w:val="24"/>
        </w:rPr>
        <w:t xml:space="preserve">nt of </w:t>
      </w:r>
      <w:proofErr w:type="spellStart"/>
      <w:r w:rsidR="006518BF">
        <w:rPr>
          <w:rFonts w:ascii="Times New Roman" w:hAnsi="Times New Roman" w:cs="Times New Roman"/>
          <w:sz w:val="24"/>
          <w:szCs w:val="24"/>
        </w:rPr>
        <w:t>Kajiado</w:t>
      </w:r>
      <w:proofErr w:type="spellEnd"/>
      <w:r w:rsidR="006518BF">
        <w:rPr>
          <w:rFonts w:ascii="Times New Roman" w:hAnsi="Times New Roman" w:cs="Times New Roman"/>
          <w:sz w:val="24"/>
          <w:szCs w:val="24"/>
        </w:rPr>
        <w:t xml:space="preserve"> and the new </w:t>
      </w:r>
      <w:proofErr w:type="spellStart"/>
      <w:r w:rsid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Municipality.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DISASTER RISK REDUCTION and MANAGEMENT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In relation to reducing and managing disasters across the planning area, the plan outlines disasters associated with climate change and variability, flooding and deluge control, landslides, drought and famine. It has identified areas that are prone to disasters and the prevailing types and set out mitigation measures. One proposal has been to set aside funds for emergencies, but also well resource the Municipality disaster protection units.  </w:t>
      </w:r>
    </w:p>
    <w:p w:rsidR="006518BF" w:rsidRDefault="006518BF" w:rsidP="006518BF">
      <w:pPr>
        <w:pStyle w:val="Heading2"/>
        <w:ind w:left="-5"/>
        <w:jc w:val="center"/>
        <w:rPr>
          <w:rFonts w:ascii="Times New Roman" w:hAnsi="Times New Roman" w:cs="Times New Roman"/>
          <w:sz w:val="24"/>
          <w:szCs w:val="24"/>
        </w:rPr>
      </w:pPr>
      <w:r>
        <w:rPr>
          <w:rFonts w:ascii="Times New Roman" w:hAnsi="Times New Roman" w:cs="Times New Roman"/>
          <w:sz w:val="24"/>
          <w:szCs w:val="24"/>
        </w:rPr>
        <w:t>CHAPTER 4</w:t>
      </w:r>
    </w:p>
    <w:p w:rsidR="0073793E" w:rsidRPr="006518BF" w:rsidRDefault="0063549C" w:rsidP="006518BF">
      <w:pPr>
        <w:pStyle w:val="Heading2"/>
        <w:ind w:left="-5"/>
        <w:jc w:val="center"/>
        <w:rPr>
          <w:rFonts w:ascii="Times New Roman" w:hAnsi="Times New Roman" w:cs="Times New Roman"/>
          <w:sz w:val="24"/>
          <w:szCs w:val="24"/>
        </w:rPr>
      </w:pPr>
      <w:r w:rsidRPr="006518BF">
        <w:rPr>
          <w:rFonts w:ascii="Times New Roman" w:hAnsi="Times New Roman" w:cs="Times New Roman"/>
          <w:sz w:val="24"/>
          <w:szCs w:val="24"/>
        </w:rPr>
        <w:t>STAKEHOLDERS PARTICIPATION</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importance of stakeholder participation, engagement, contribution, methods, and management has been stressed in this chapter, following consultation sessions that build a feedback loop to increase ownership and scale up. This remains the foothold for which uniform development is anchored upon. The section has identified the stakeholders concerns and provided for a platform for deliberations and generating solutions.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SWOT ANALYSIS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The plan has envisaged determining pla</w:t>
      </w:r>
      <w:r w:rsidR="00D91DA9">
        <w:rPr>
          <w:rFonts w:ascii="Times New Roman" w:hAnsi="Times New Roman" w:cs="Times New Roman"/>
          <w:sz w:val="24"/>
          <w:szCs w:val="24"/>
        </w:rPr>
        <w:t>nning process based on the area</w:t>
      </w:r>
      <w:r w:rsidRPr="006518BF">
        <w:rPr>
          <w:rFonts w:ascii="Times New Roman" w:hAnsi="Times New Roman" w:cs="Times New Roman"/>
          <w:sz w:val="24"/>
          <w:szCs w:val="24"/>
        </w:rPr>
        <w:t xml:space="preserve">s SWOT analysis that hopes to develop informed perspectives on addressing the sectoral development needs. This will also guide mooting reinforced measures that mitigate demerits in initiative program formulation.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 </w:t>
      </w:r>
    </w:p>
    <w:p w:rsidR="0073793E" w:rsidRPr="006518BF" w:rsidRDefault="0063549C" w:rsidP="006518BF">
      <w:pPr>
        <w:pStyle w:val="Heading2"/>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CHAPTER 5: DEVELOPMENT CONCEPT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chapter deals with specific proposals in addressing the identified sectors, complete with the requisite investment Action Plans. It sets out an implementation plan and schedule with </w:t>
      </w:r>
      <w:proofErr w:type="spellStart"/>
      <w:r w:rsidRPr="006518BF">
        <w:rPr>
          <w:rFonts w:ascii="Times New Roman" w:hAnsi="Times New Roman" w:cs="Times New Roman"/>
          <w:sz w:val="24"/>
          <w:szCs w:val="24"/>
        </w:rPr>
        <w:t>individualised</w:t>
      </w:r>
      <w:proofErr w:type="spellEnd"/>
      <w:r w:rsidRPr="006518BF">
        <w:rPr>
          <w:rFonts w:ascii="Times New Roman" w:hAnsi="Times New Roman" w:cs="Times New Roman"/>
          <w:sz w:val="24"/>
          <w:szCs w:val="24"/>
        </w:rPr>
        <w:t xml:space="preserve"> strategies for each sector, highlighting the models to be used.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 </w:t>
      </w:r>
    </w:p>
    <w:p w:rsidR="00D91DA9" w:rsidRDefault="00D91DA9" w:rsidP="00D91DA9">
      <w:pPr>
        <w:pStyle w:val="Heading2"/>
        <w:ind w:left="-5"/>
        <w:jc w:val="center"/>
        <w:rPr>
          <w:rFonts w:ascii="Times New Roman" w:hAnsi="Times New Roman" w:cs="Times New Roman"/>
          <w:sz w:val="24"/>
          <w:szCs w:val="24"/>
        </w:rPr>
      </w:pPr>
      <w:r>
        <w:rPr>
          <w:rFonts w:ascii="Times New Roman" w:hAnsi="Times New Roman" w:cs="Times New Roman"/>
          <w:sz w:val="24"/>
          <w:szCs w:val="24"/>
        </w:rPr>
        <w:t>CHAPTER 6</w:t>
      </w:r>
    </w:p>
    <w:p w:rsidR="0073793E" w:rsidRPr="006518BF" w:rsidRDefault="0063549C" w:rsidP="00D91DA9">
      <w:pPr>
        <w:pStyle w:val="Heading2"/>
        <w:ind w:left="-5"/>
        <w:jc w:val="center"/>
        <w:rPr>
          <w:rFonts w:ascii="Times New Roman" w:hAnsi="Times New Roman" w:cs="Times New Roman"/>
          <w:sz w:val="24"/>
          <w:szCs w:val="24"/>
        </w:rPr>
      </w:pPr>
      <w:r w:rsidRPr="006518BF">
        <w:rPr>
          <w:rFonts w:ascii="Times New Roman" w:hAnsi="Times New Roman" w:cs="Times New Roman"/>
          <w:sz w:val="24"/>
          <w:szCs w:val="24"/>
        </w:rPr>
        <w:t>THE PROPOSED DEVELOPMENT PLAN</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This chapter concerns itself with addressing the land use patterns, development and review of zoning plans; specific sectoral programs in all the identified sectors; and develops a clear map for the implementation of the proposed development plan.   </w:t>
      </w:r>
    </w:p>
    <w:p w:rsidR="00D91DA9" w:rsidRDefault="00D91DA9" w:rsidP="00D91DA9">
      <w:pPr>
        <w:pStyle w:val="Heading2"/>
        <w:ind w:left="-5"/>
        <w:jc w:val="center"/>
        <w:rPr>
          <w:rFonts w:ascii="Times New Roman" w:hAnsi="Times New Roman" w:cs="Times New Roman"/>
          <w:sz w:val="24"/>
          <w:szCs w:val="24"/>
        </w:rPr>
      </w:pPr>
      <w:r>
        <w:rPr>
          <w:rFonts w:ascii="Times New Roman" w:hAnsi="Times New Roman" w:cs="Times New Roman"/>
          <w:sz w:val="24"/>
          <w:szCs w:val="24"/>
        </w:rPr>
        <w:t>CHAPTER 7</w:t>
      </w:r>
    </w:p>
    <w:p w:rsidR="0073793E" w:rsidRPr="006518BF" w:rsidRDefault="0063549C" w:rsidP="00D91DA9">
      <w:pPr>
        <w:pStyle w:val="Heading2"/>
        <w:ind w:left="-5"/>
        <w:jc w:val="center"/>
        <w:rPr>
          <w:rFonts w:ascii="Times New Roman" w:hAnsi="Times New Roman" w:cs="Times New Roman"/>
          <w:sz w:val="24"/>
          <w:szCs w:val="24"/>
        </w:rPr>
      </w:pPr>
      <w:r w:rsidRPr="006518BF">
        <w:rPr>
          <w:rFonts w:ascii="Times New Roman" w:hAnsi="Times New Roman" w:cs="Times New Roman"/>
          <w:sz w:val="24"/>
          <w:szCs w:val="24"/>
        </w:rPr>
        <w:t>ACTION AREA PLANS</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Chapter defines and expands the specific actions proposed in the plan to be implemented in the identified towns.  Some of the short term plans involve six actions. These are: the construction of the 4.5km SGR tunnel line that crosses from </w:t>
      </w:r>
      <w:proofErr w:type="spellStart"/>
      <w:r w:rsidRPr="006518BF">
        <w:rPr>
          <w:rFonts w:ascii="Times New Roman" w:hAnsi="Times New Roman" w:cs="Times New Roman"/>
          <w:sz w:val="24"/>
          <w:szCs w:val="24"/>
        </w:rPr>
        <w:t>Embulbul</w:t>
      </w:r>
      <w:proofErr w:type="spellEnd"/>
      <w:r w:rsidRPr="006518BF">
        <w:rPr>
          <w:rFonts w:ascii="Times New Roman" w:hAnsi="Times New Roman" w:cs="Times New Roman"/>
          <w:sz w:val="24"/>
          <w:szCs w:val="24"/>
        </w:rPr>
        <w:t xml:space="preserve"> through </w:t>
      </w:r>
      <w:proofErr w:type="spellStart"/>
      <w:r w:rsidRPr="006518BF">
        <w:rPr>
          <w:rFonts w:ascii="Times New Roman" w:hAnsi="Times New Roman" w:cs="Times New Roman"/>
          <w:sz w:val="24"/>
          <w:szCs w:val="24"/>
        </w:rPr>
        <w:t>Kibiko</w:t>
      </w:r>
      <w:proofErr w:type="spellEnd"/>
      <w:r w:rsidRPr="006518BF">
        <w:rPr>
          <w:rFonts w:ascii="Times New Roman" w:hAnsi="Times New Roman" w:cs="Times New Roman"/>
          <w:sz w:val="24"/>
          <w:szCs w:val="24"/>
        </w:rPr>
        <w:t xml:space="preserve"> towards </w:t>
      </w:r>
      <w:proofErr w:type="spellStart"/>
      <w:r w:rsidRPr="006518BF">
        <w:rPr>
          <w:rFonts w:ascii="Times New Roman" w:hAnsi="Times New Roman" w:cs="Times New Roman"/>
          <w:sz w:val="24"/>
          <w:szCs w:val="24"/>
        </w:rPr>
        <w:t>Suswa</w:t>
      </w:r>
      <w:proofErr w:type="spellEnd"/>
      <w:r w:rsidRPr="006518BF">
        <w:rPr>
          <w:rFonts w:ascii="Times New Roman" w:hAnsi="Times New Roman" w:cs="Times New Roman"/>
          <w:sz w:val="24"/>
          <w:szCs w:val="24"/>
        </w:rPr>
        <w:t xml:space="preserve">; creation of a compact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CBD; Construction of a multi-story </w:t>
      </w:r>
      <w:proofErr w:type="spellStart"/>
      <w:r w:rsidRPr="006518BF">
        <w:rPr>
          <w:rFonts w:ascii="Times New Roman" w:hAnsi="Times New Roman" w:cs="Times New Roman"/>
          <w:sz w:val="24"/>
          <w:szCs w:val="24"/>
        </w:rPr>
        <w:t>Ngong</w:t>
      </w:r>
      <w:proofErr w:type="spellEnd"/>
      <w:r w:rsidRPr="006518BF">
        <w:rPr>
          <w:rFonts w:ascii="Times New Roman" w:hAnsi="Times New Roman" w:cs="Times New Roman"/>
          <w:sz w:val="24"/>
          <w:szCs w:val="24"/>
        </w:rPr>
        <w:t xml:space="preserve"> Bus Park; protection and from pollution and restoration to capacity of the </w:t>
      </w:r>
      <w:proofErr w:type="spellStart"/>
      <w:r w:rsidRPr="006518BF">
        <w:rPr>
          <w:rFonts w:ascii="Times New Roman" w:hAnsi="Times New Roman" w:cs="Times New Roman"/>
          <w:sz w:val="24"/>
          <w:szCs w:val="24"/>
        </w:rPr>
        <w:t>Kiserian</w:t>
      </w:r>
      <w:proofErr w:type="spellEnd"/>
      <w:r w:rsidRPr="006518BF">
        <w:rPr>
          <w:rFonts w:ascii="Times New Roman" w:hAnsi="Times New Roman" w:cs="Times New Roman"/>
          <w:sz w:val="24"/>
          <w:szCs w:val="24"/>
        </w:rPr>
        <w:t xml:space="preserve"> Dam; construction of the </w:t>
      </w:r>
      <w:proofErr w:type="spellStart"/>
      <w:r w:rsidRPr="006518BF">
        <w:rPr>
          <w:rFonts w:ascii="Times New Roman" w:hAnsi="Times New Roman" w:cs="Times New Roman"/>
          <w:sz w:val="24"/>
          <w:szCs w:val="24"/>
        </w:rPr>
        <w:t>Ongata</w:t>
      </w:r>
      <w:proofErr w:type="spellEnd"/>
      <w:r w:rsidRPr="006518BF">
        <w:rPr>
          <w:rFonts w:ascii="Times New Roman" w:hAnsi="Times New Roman" w:cs="Times New Roman"/>
          <w:sz w:val="24"/>
          <w:szCs w:val="24"/>
        </w:rPr>
        <w:t xml:space="preserve"> </w:t>
      </w:r>
      <w:proofErr w:type="spellStart"/>
      <w:r w:rsidRPr="006518BF">
        <w:rPr>
          <w:rFonts w:ascii="Times New Roman" w:hAnsi="Times New Roman" w:cs="Times New Roman"/>
          <w:sz w:val="24"/>
          <w:szCs w:val="24"/>
        </w:rPr>
        <w:t>Rongai</w:t>
      </w:r>
      <w:proofErr w:type="spellEnd"/>
      <w:r w:rsidRPr="006518BF">
        <w:rPr>
          <w:rFonts w:ascii="Times New Roman" w:hAnsi="Times New Roman" w:cs="Times New Roman"/>
          <w:sz w:val="24"/>
          <w:szCs w:val="24"/>
        </w:rPr>
        <w:t xml:space="preserve"> CBD; construction of the </w:t>
      </w:r>
      <w:proofErr w:type="spellStart"/>
      <w:r w:rsidRPr="006518BF">
        <w:rPr>
          <w:rFonts w:ascii="Times New Roman" w:hAnsi="Times New Roman" w:cs="Times New Roman"/>
          <w:sz w:val="24"/>
          <w:szCs w:val="24"/>
        </w:rPr>
        <w:t>Kandisi</w:t>
      </w:r>
      <w:proofErr w:type="spellEnd"/>
      <w:r w:rsidRPr="006518BF">
        <w:rPr>
          <w:rFonts w:ascii="Times New Roman" w:hAnsi="Times New Roman" w:cs="Times New Roman"/>
          <w:sz w:val="24"/>
          <w:szCs w:val="24"/>
        </w:rPr>
        <w:t xml:space="preserve"> SGR Station; and a redesign of the </w:t>
      </w:r>
      <w:proofErr w:type="spellStart"/>
      <w:r w:rsidRPr="006518BF">
        <w:rPr>
          <w:rFonts w:ascii="Times New Roman" w:hAnsi="Times New Roman" w:cs="Times New Roman"/>
          <w:sz w:val="24"/>
          <w:szCs w:val="24"/>
        </w:rPr>
        <w:t>Kiserian</w:t>
      </w:r>
      <w:proofErr w:type="spellEnd"/>
      <w:r w:rsidRPr="006518BF">
        <w:rPr>
          <w:rFonts w:ascii="Times New Roman" w:hAnsi="Times New Roman" w:cs="Times New Roman"/>
          <w:sz w:val="24"/>
          <w:szCs w:val="24"/>
        </w:rPr>
        <w:t xml:space="preserve"> CBD.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 </w:t>
      </w:r>
    </w:p>
    <w:p w:rsidR="00D91DA9" w:rsidRDefault="00D91DA9" w:rsidP="00D91DA9">
      <w:pPr>
        <w:pStyle w:val="Heading2"/>
        <w:ind w:left="-5"/>
        <w:jc w:val="center"/>
        <w:rPr>
          <w:rFonts w:ascii="Times New Roman" w:hAnsi="Times New Roman" w:cs="Times New Roman"/>
          <w:sz w:val="24"/>
          <w:szCs w:val="24"/>
        </w:rPr>
      </w:pPr>
      <w:r>
        <w:rPr>
          <w:rFonts w:ascii="Times New Roman" w:hAnsi="Times New Roman" w:cs="Times New Roman"/>
          <w:sz w:val="24"/>
          <w:szCs w:val="24"/>
        </w:rPr>
        <w:lastRenderedPageBreak/>
        <w:t>CHAPTER 8</w:t>
      </w:r>
    </w:p>
    <w:p w:rsidR="0073793E" w:rsidRPr="006518BF" w:rsidRDefault="0063549C" w:rsidP="00D91DA9">
      <w:pPr>
        <w:pStyle w:val="Heading2"/>
        <w:ind w:left="-5"/>
        <w:jc w:val="center"/>
        <w:rPr>
          <w:rFonts w:ascii="Times New Roman" w:hAnsi="Times New Roman" w:cs="Times New Roman"/>
          <w:sz w:val="24"/>
          <w:szCs w:val="24"/>
        </w:rPr>
      </w:pPr>
      <w:r w:rsidRPr="006518BF">
        <w:rPr>
          <w:rFonts w:ascii="Times New Roman" w:hAnsi="Times New Roman" w:cs="Times New Roman"/>
          <w:sz w:val="24"/>
          <w:szCs w:val="24"/>
        </w:rPr>
        <w:t>IMPLEMENTATION PLAN</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chapter concerns itself with the actual strategies for successful implementation of the plan in each sector. It outlines the innovative approaches to used, separating heavy capital investment programs and identifies the financial leveraging sources. The plan also describes methods enhancing revenue and income in the County providing fiscal reflections for previous investment years. It envisages promoting a solid foundation for future investment within the Municipality.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It institutes Financing/Revenue Enhancement Strategies in line with County Revenue sources, National Government allocations, Donor funding and local/Own Source Revenue (OSR) against the backdrop of Fiscal incomes for previous Financial Years (2013/2014 and 2017-2018). The </w:t>
      </w:r>
      <w:proofErr w:type="spellStart"/>
      <w:r w:rsidRPr="006518BF">
        <w:rPr>
          <w:rFonts w:ascii="Times New Roman" w:hAnsi="Times New Roman" w:cs="Times New Roman"/>
          <w:sz w:val="24"/>
          <w:szCs w:val="24"/>
        </w:rPr>
        <w:t>County‟s</w:t>
      </w:r>
      <w:proofErr w:type="spellEnd"/>
      <w:r w:rsidRPr="006518BF">
        <w:rPr>
          <w:rFonts w:ascii="Times New Roman" w:hAnsi="Times New Roman" w:cs="Times New Roman"/>
          <w:sz w:val="24"/>
          <w:szCs w:val="24"/>
        </w:rPr>
        <w:t xml:space="preserve"> OSR target for 2013/14 to 2017/2018 Financial Years amounted to </w:t>
      </w:r>
      <w:proofErr w:type="spellStart"/>
      <w:r w:rsidRPr="006518BF">
        <w:rPr>
          <w:rFonts w:ascii="Times New Roman" w:hAnsi="Times New Roman" w:cs="Times New Roman"/>
          <w:sz w:val="24"/>
          <w:szCs w:val="24"/>
        </w:rPr>
        <w:t>KShs</w:t>
      </w:r>
      <w:proofErr w:type="spellEnd"/>
      <w:r w:rsidRPr="006518BF">
        <w:rPr>
          <w:rFonts w:ascii="Times New Roman" w:hAnsi="Times New Roman" w:cs="Times New Roman"/>
          <w:sz w:val="24"/>
          <w:szCs w:val="24"/>
        </w:rPr>
        <w:t xml:space="preserve"> 4.7 Billion.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 </w:t>
      </w:r>
    </w:p>
    <w:p w:rsidR="00D91DA9" w:rsidRDefault="00D91DA9" w:rsidP="00D91DA9">
      <w:pPr>
        <w:pStyle w:val="Heading2"/>
        <w:ind w:left="-5"/>
        <w:jc w:val="center"/>
        <w:rPr>
          <w:rFonts w:ascii="Times New Roman" w:hAnsi="Times New Roman" w:cs="Times New Roman"/>
          <w:sz w:val="24"/>
          <w:szCs w:val="24"/>
        </w:rPr>
      </w:pPr>
      <w:r>
        <w:rPr>
          <w:rFonts w:ascii="Times New Roman" w:hAnsi="Times New Roman" w:cs="Times New Roman"/>
          <w:sz w:val="24"/>
          <w:szCs w:val="24"/>
        </w:rPr>
        <w:t>CHAPTER 9</w:t>
      </w:r>
    </w:p>
    <w:p w:rsidR="0073793E" w:rsidRPr="006518BF" w:rsidRDefault="0063549C" w:rsidP="00D91DA9">
      <w:pPr>
        <w:pStyle w:val="Heading2"/>
        <w:ind w:left="-5"/>
        <w:jc w:val="center"/>
        <w:rPr>
          <w:rFonts w:ascii="Times New Roman" w:hAnsi="Times New Roman" w:cs="Times New Roman"/>
          <w:sz w:val="24"/>
          <w:szCs w:val="24"/>
        </w:rPr>
      </w:pPr>
      <w:r w:rsidRPr="006518BF">
        <w:rPr>
          <w:rFonts w:ascii="Times New Roman" w:hAnsi="Times New Roman" w:cs="Times New Roman"/>
          <w:sz w:val="24"/>
          <w:szCs w:val="24"/>
        </w:rPr>
        <w:t>MONITORING and EVALUATION</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This chapter delves in to methods and tools and to enable tracking of impacts and assess the progress throughout the implementation process. This will inform appropriate adjustment throughout the implementation period.  </w:t>
      </w:r>
    </w:p>
    <w:p w:rsidR="0073793E" w:rsidRPr="006518BF" w:rsidRDefault="0063549C" w:rsidP="006518BF">
      <w:pPr>
        <w:pStyle w:val="Heading2"/>
        <w:spacing w:after="159"/>
        <w:ind w:left="-5"/>
        <w:jc w:val="both"/>
        <w:rPr>
          <w:rFonts w:ascii="Times New Roman" w:hAnsi="Times New Roman" w:cs="Times New Roman"/>
          <w:sz w:val="24"/>
          <w:szCs w:val="24"/>
        </w:rPr>
      </w:pPr>
      <w:r w:rsidRPr="006518BF">
        <w:rPr>
          <w:rFonts w:ascii="Times New Roman" w:hAnsi="Times New Roman" w:cs="Times New Roman"/>
          <w:sz w:val="24"/>
          <w:szCs w:val="24"/>
        </w:rPr>
        <w:t xml:space="preserve">PRIORITY PLANS </w:t>
      </w:r>
    </w:p>
    <w:p w:rsidR="0073793E" w:rsidRPr="006518BF" w:rsidRDefault="0063549C" w:rsidP="006518BF">
      <w:pPr>
        <w:ind w:left="-5" w:right="6"/>
        <w:rPr>
          <w:rFonts w:ascii="Times New Roman" w:hAnsi="Times New Roman" w:cs="Times New Roman"/>
          <w:sz w:val="24"/>
          <w:szCs w:val="24"/>
        </w:rPr>
      </w:pPr>
      <w:r w:rsidRPr="006518BF">
        <w:rPr>
          <w:rFonts w:ascii="Times New Roman" w:hAnsi="Times New Roman" w:cs="Times New Roman"/>
          <w:sz w:val="24"/>
          <w:szCs w:val="24"/>
        </w:rPr>
        <w:t xml:space="preserve">The ISUDP‟s has finally presented the Implementation Plan that will be executed in over a 10-year planning period. It outlines this within the different sectors while proposing the institutions responsible for various interventions. These sectors are: Natural resources and the environment; Physical Infrastructure; Social Infrastructure; Local economy; Housing; Transportation; Informal settlements; Disaster management; and Tourism. </w:t>
      </w:r>
    </w:p>
    <w:p w:rsidR="0073793E" w:rsidRPr="006518BF" w:rsidRDefault="0063549C" w:rsidP="00D91DA9">
      <w:pPr>
        <w:spacing w:after="147"/>
        <w:ind w:left="-5" w:right="6"/>
        <w:rPr>
          <w:rFonts w:ascii="Times New Roman" w:hAnsi="Times New Roman" w:cs="Times New Roman"/>
          <w:sz w:val="24"/>
          <w:szCs w:val="24"/>
        </w:rPr>
      </w:pPr>
      <w:r w:rsidRPr="006518BF">
        <w:rPr>
          <w:rFonts w:ascii="Times New Roman" w:hAnsi="Times New Roman" w:cs="Times New Roman"/>
          <w:sz w:val="24"/>
          <w:szCs w:val="24"/>
        </w:rPr>
        <w:t>In the short term (2018-2020), the plan proposes implementing slightly over 60 initiatives that will cover the nine priority sectors outlined. It however proposes initiatives that will be cover</w:t>
      </w:r>
      <w:r w:rsidR="00D91DA9">
        <w:rPr>
          <w:rFonts w:ascii="Times New Roman" w:hAnsi="Times New Roman" w:cs="Times New Roman"/>
          <w:sz w:val="24"/>
          <w:szCs w:val="24"/>
        </w:rPr>
        <w:t>ed in the medium and long term.</w:t>
      </w:r>
      <w:r w:rsidRPr="006518BF">
        <w:rPr>
          <w:rFonts w:ascii="Times New Roman" w:hAnsi="Times New Roman" w:cs="Times New Roman"/>
          <w:b/>
          <w:sz w:val="24"/>
          <w:szCs w:val="24"/>
        </w:rPr>
        <w:t xml:space="preserve"> </w:t>
      </w:r>
      <w:r w:rsidRPr="006518BF">
        <w:rPr>
          <w:rFonts w:ascii="Times New Roman" w:hAnsi="Times New Roman" w:cs="Times New Roman"/>
          <w:b/>
          <w:sz w:val="24"/>
          <w:szCs w:val="24"/>
        </w:rPr>
        <w:tab/>
        <w:t xml:space="preserve"> </w:t>
      </w:r>
      <w:r w:rsidRPr="006518BF">
        <w:rPr>
          <w:rFonts w:ascii="Times New Roman" w:hAnsi="Times New Roman" w:cs="Times New Roman"/>
          <w:sz w:val="24"/>
          <w:szCs w:val="24"/>
        </w:rPr>
        <w:br w:type="page"/>
      </w:r>
    </w:p>
    <w:p w:rsidR="0073793E" w:rsidRPr="006518BF" w:rsidRDefault="0063549C" w:rsidP="006518BF">
      <w:pPr>
        <w:pStyle w:val="Heading2"/>
        <w:spacing w:after="159"/>
        <w:ind w:left="-5"/>
        <w:jc w:val="both"/>
        <w:rPr>
          <w:rFonts w:ascii="Times New Roman" w:hAnsi="Times New Roman" w:cs="Times New Roman"/>
          <w:sz w:val="24"/>
          <w:szCs w:val="24"/>
        </w:rPr>
      </w:pPr>
      <w:r w:rsidRPr="006518BF">
        <w:rPr>
          <w:rFonts w:ascii="Times New Roman" w:hAnsi="Times New Roman" w:cs="Times New Roman"/>
          <w:sz w:val="24"/>
          <w:szCs w:val="24"/>
        </w:rPr>
        <w:lastRenderedPageBreak/>
        <w:t xml:space="preserve">PRIORITY PLANS </w:t>
      </w:r>
    </w:p>
    <w:p w:rsidR="0073793E" w:rsidRPr="006518BF" w:rsidRDefault="0063549C" w:rsidP="006518BF">
      <w:pPr>
        <w:spacing w:after="10"/>
        <w:ind w:left="-5" w:right="6"/>
        <w:rPr>
          <w:rFonts w:ascii="Times New Roman" w:hAnsi="Times New Roman" w:cs="Times New Roman"/>
          <w:sz w:val="24"/>
          <w:szCs w:val="24"/>
        </w:rPr>
      </w:pPr>
      <w:r w:rsidRPr="006518BF">
        <w:rPr>
          <w:rFonts w:ascii="Times New Roman" w:hAnsi="Times New Roman" w:cs="Times New Roman"/>
          <w:sz w:val="24"/>
          <w:szCs w:val="24"/>
        </w:rPr>
        <w:t xml:space="preserve">The sectoral tables below illustrate the short-term (2018-2020) priority initiatives: </w:t>
      </w:r>
    </w:p>
    <w:tbl>
      <w:tblPr>
        <w:tblStyle w:val="TableGrid"/>
        <w:tblW w:w="9531" w:type="dxa"/>
        <w:tblInd w:w="-108" w:type="dxa"/>
        <w:tblCellMar>
          <w:top w:w="20" w:type="dxa"/>
          <w:right w:w="200" w:type="dxa"/>
        </w:tblCellMar>
        <w:tblLook w:val="04A0" w:firstRow="1" w:lastRow="0" w:firstColumn="1" w:lastColumn="0" w:noHBand="0" w:noVBand="1"/>
      </w:tblPr>
      <w:tblGrid>
        <w:gridCol w:w="4917"/>
        <w:gridCol w:w="108"/>
        <w:gridCol w:w="3654"/>
        <w:gridCol w:w="852"/>
      </w:tblGrid>
      <w:tr w:rsidR="0073793E" w:rsidRPr="006518BF">
        <w:trPr>
          <w:trHeight w:val="756"/>
        </w:trPr>
        <w:tc>
          <w:tcPr>
            <w:tcW w:w="5026" w:type="dxa"/>
            <w:gridSpan w:val="2"/>
            <w:tcBorders>
              <w:top w:val="single" w:sz="3" w:space="0" w:color="000000"/>
              <w:left w:val="nil"/>
              <w:bottom w:val="single" w:sz="3" w:space="0" w:color="000000"/>
              <w:right w:val="nil"/>
            </w:tcBorders>
          </w:tcPr>
          <w:p w:rsidR="0073793E" w:rsidRPr="006518BF" w:rsidRDefault="0063549C" w:rsidP="006518BF">
            <w:pPr>
              <w:spacing w:after="143"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ENVIRONMENT AND NATURAL RESOURCES </w:t>
            </w:r>
          </w:p>
          <w:p w:rsidR="0073793E" w:rsidRPr="006518BF" w:rsidRDefault="0063549C" w:rsidP="006518BF">
            <w:pPr>
              <w:spacing w:after="0"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PLANS </w:t>
            </w:r>
          </w:p>
        </w:tc>
        <w:tc>
          <w:tcPr>
            <w:tcW w:w="4506" w:type="dxa"/>
            <w:gridSpan w:val="2"/>
            <w:tcBorders>
              <w:top w:val="single" w:sz="3" w:space="0" w:color="000000"/>
              <w:left w:val="nil"/>
              <w:bottom w:val="single" w:sz="3" w:space="0" w:color="000000"/>
              <w:right w:val="nil"/>
            </w:tcBorders>
            <w:vAlign w:val="bottom"/>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b/>
                <w:sz w:val="24"/>
                <w:szCs w:val="24"/>
              </w:rPr>
              <w:t xml:space="preserve">INSTITUTION RESPONSIBLE </w:t>
            </w:r>
          </w:p>
        </w:tc>
      </w:tr>
      <w:tr w:rsidR="0073793E" w:rsidRPr="006518BF">
        <w:trPr>
          <w:trHeight w:val="567"/>
        </w:trPr>
        <w:tc>
          <w:tcPr>
            <w:tcW w:w="5026" w:type="dxa"/>
            <w:gridSpan w:val="2"/>
            <w:tcBorders>
              <w:top w:val="single" w:sz="3" w:space="0" w:color="000000"/>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Creation of a 15 m riparian reserve along the rivers, </w:t>
            </w:r>
            <w:proofErr w:type="spellStart"/>
            <w:r w:rsidRPr="00D91DA9">
              <w:rPr>
                <w:rFonts w:ascii="Times New Roman" w:hAnsi="Times New Roman" w:cs="Times New Roman"/>
                <w:sz w:val="24"/>
                <w:szCs w:val="24"/>
              </w:rPr>
              <w:t>Kandisi</w:t>
            </w:r>
            <w:proofErr w:type="spellEnd"/>
            <w:r w:rsidRPr="00D91DA9">
              <w:rPr>
                <w:rFonts w:ascii="Times New Roman" w:hAnsi="Times New Roman" w:cs="Times New Roman"/>
                <w:sz w:val="24"/>
                <w:szCs w:val="24"/>
              </w:rPr>
              <w:t xml:space="preserve"> and </w:t>
            </w:r>
            <w:proofErr w:type="spellStart"/>
            <w:r w:rsidRPr="00D91DA9">
              <w:rPr>
                <w:rFonts w:ascii="Times New Roman" w:hAnsi="Times New Roman" w:cs="Times New Roman"/>
                <w:sz w:val="24"/>
                <w:szCs w:val="24"/>
              </w:rPr>
              <w:t>Mbagathi</w:t>
            </w:r>
            <w:proofErr w:type="spellEnd"/>
            <w:r w:rsidRPr="00D91DA9">
              <w:rPr>
                <w:rFonts w:ascii="Times New Roman" w:hAnsi="Times New Roman" w:cs="Times New Roman"/>
                <w:sz w:val="24"/>
                <w:szCs w:val="24"/>
              </w:rPr>
              <w:t xml:space="preserve"> </w:t>
            </w:r>
          </w:p>
        </w:tc>
        <w:tc>
          <w:tcPr>
            <w:tcW w:w="4506" w:type="dxa"/>
            <w:gridSpan w:val="2"/>
            <w:tcBorders>
              <w:top w:val="single" w:sz="3" w:space="0" w:color="000000"/>
              <w:left w:val="nil"/>
              <w:bottom w:val="nil"/>
              <w:right w:val="nil"/>
            </w:tcBorders>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Physical Planning,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w:t>
            </w:r>
          </w:p>
        </w:tc>
      </w:tr>
      <w:tr w:rsidR="0073793E" w:rsidRPr="006518BF">
        <w:trPr>
          <w:trHeight w:val="540"/>
        </w:trPr>
        <w:tc>
          <w:tcPr>
            <w:tcW w:w="5026" w:type="dxa"/>
            <w:gridSpan w:val="2"/>
            <w:tcBorders>
              <w:top w:val="nil"/>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Planting trees along the river banks  </w:t>
            </w:r>
          </w:p>
        </w:tc>
        <w:tc>
          <w:tcPr>
            <w:tcW w:w="4506" w:type="dxa"/>
            <w:gridSpan w:val="2"/>
            <w:tcBorders>
              <w:top w:val="nil"/>
              <w:left w:val="nil"/>
              <w:bottom w:val="nil"/>
              <w:right w:val="nil"/>
            </w:tcBorders>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Environment and Water,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w:t>
            </w:r>
          </w:p>
        </w:tc>
      </w:tr>
      <w:tr w:rsidR="0073793E" w:rsidRPr="006518BF">
        <w:trPr>
          <w:trHeight w:val="532"/>
        </w:trPr>
        <w:tc>
          <w:tcPr>
            <w:tcW w:w="5026" w:type="dxa"/>
            <w:gridSpan w:val="2"/>
            <w:tcBorders>
              <w:top w:val="nil"/>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Planting of gabions along the riverbanks to prevent soil erosion. </w:t>
            </w:r>
          </w:p>
        </w:tc>
        <w:tc>
          <w:tcPr>
            <w:tcW w:w="4506" w:type="dxa"/>
            <w:gridSpan w:val="2"/>
            <w:tcBorders>
              <w:top w:val="nil"/>
              <w:left w:val="nil"/>
              <w:bottom w:val="nil"/>
              <w:right w:val="nil"/>
            </w:tcBorders>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Environment,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w:t>
            </w:r>
          </w:p>
        </w:tc>
      </w:tr>
      <w:tr w:rsidR="0073793E" w:rsidRPr="006518BF">
        <w:trPr>
          <w:trHeight w:val="535"/>
        </w:trPr>
        <w:tc>
          <w:tcPr>
            <w:tcW w:w="5026" w:type="dxa"/>
            <w:gridSpan w:val="2"/>
            <w:tcBorders>
              <w:top w:val="nil"/>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Fencing of the forests to discourage encroachment </w:t>
            </w:r>
          </w:p>
        </w:tc>
        <w:tc>
          <w:tcPr>
            <w:tcW w:w="4506" w:type="dxa"/>
            <w:gridSpan w:val="2"/>
            <w:tcBorders>
              <w:top w:val="nil"/>
              <w:left w:val="nil"/>
              <w:bottom w:val="nil"/>
              <w:right w:val="nil"/>
            </w:tcBorders>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wildlife, Environment and KWS,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w:t>
            </w:r>
          </w:p>
        </w:tc>
      </w:tr>
      <w:tr w:rsidR="0073793E" w:rsidRPr="006518BF">
        <w:trPr>
          <w:trHeight w:val="532"/>
        </w:trPr>
        <w:tc>
          <w:tcPr>
            <w:tcW w:w="5026" w:type="dxa"/>
            <w:gridSpan w:val="2"/>
            <w:tcBorders>
              <w:top w:val="nil"/>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Community </w:t>
            </w:r>
            <w:proofErr w:type="spellStart"/>
            <w:r w:rsidRPr="00D91DA9">
              <w:rPr>
                <w:rFonts w:ascii="Times New Roman" w:hAnsi="Times New Roman" w:cs="Times New Roman"/>
                <w:sz w:val="24"/>
                <w:szCs w:val="24"/>
              </w:rPr>
              <w:t>programmes</w:t>
            </w:r>
            <w:proofErr w:type="spellEnd"/>
            <w:r w:rsidRPr="00D91DA9">
              <w:rPr>
                <w:rFonts w:ascii="Times New Roman" w:hAnsi="Times New Roman" w:cs="Times New Roman"/>
                <w:sz w:val="24"/>
                <w:szCs w:val="24"/>
              </w:rPr>
              <w:t xml:space="preserve"> for sensitization on Environmental conservation measures </w:t>
            </w:r>
          </w:p>
        </w:tc>
        <w:tc>
          <w:tcPr>
            <w:tcW w:w="4506" w:type="dxa"/>
            <w:gridSpan w:val="2"/>
            <w:tcBorders>
              <w:top w:val="nil"/>
              <w:left w:val="nil"/>
              <w:bottom w:val="nil"/>
              <w:right w:val="nil"/>
            </w:tcBorders>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Environment,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w:t>
            </w:r>
          </w:p>
        </w:tc>
      </w:tr>
      <w:tr w:rsidR="0073793E" w:rsidRPr="006518BF">
        <w:trPr>
          <w:trHeight w:val="614"/>
        </w:trPr>
        <w:tc>
          <w:tcPr>
            <w:tcW w:w="5026" w:type="dxa"/>
            <w:gridSpan w:val="2"/>
            <w:tcBorders>
              <w:top w:val="nil"/>
              <w:left w:val="nil"/>
              <w:bottom w:val="nil"/>
              <w:right w:val="nil"/>
            </w:tcBorders>
            <w:vAlign w:val="center"/>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Issuance of enforcement letters(PPA 7) on developments along the riparian reserves </w:t>
            </w:r>
          </w:p>
        </w:tc>
        <w:tc>
          <w:tcPr>
            <w:tcW w:w="4506" w:type="dxa"/>
            <w:gridSpan w:val="2"/>
            <w:tcBorders>
              <w:top w:val="nil"/>
              <w:left w:val="nil"/>
              <w:bottom w:val="nil"/>
              <w:right w:val="nil"/>
            </w:tcBorders>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Physical Planning,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w:t>
            </w:r>
          </w:p>
        </w:tc>
      </w:tr>
      <w:tr w:rsidR="0073793E" w:rsidRPr="006518BF">
        <w:trPr>
          <w:trHeight w:val="608"/>
        </w:trPr>
        <w:tc>
          <w:tcPr>
            <w:tcW w:w="5026" w:type="dxa"/>
            <w:gridSpan w:val="2"/>
            <w:tcBorders>
              <w:top w:val="nil"/>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Request Environmental impact assessments for any new quarrying plans. </w:t>
            </w:r>
          </w:p>
        </w:tc>
        <w:tc>
          <w:tcPr>
            <w:tcW w:w="4506" w:type="dxa"/>
            <w:gridSpan w:val="2"/>
            <w:tcBorders>
              <w:top w:val="nil"/>
              <w:left w:val="nil"/>
              <w:bottom w:val="nil"/>
              <w:right w:val="nil"/>
            </w:tcBorders>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NEMA </w:t>
            </w:r>
          </w:p>
        </w:tc>
      </w:tr>
      <w:tr w:rsidR="0073793E" w:rsidRPr="006518BF">
        <w:trPr>
          <w:trHeight w:val="862"/>
        </w:trPr>
        <w:tc>
          <w:tcPr>
            <w:tcW w:w="5026" w:type="dxa"/>
            <w:gridSpan w:val="2"/>
            <w:tcBorders>
              <w:top w:val="nil"/>
              <w:left w:val="nil"/>
              <w:bottom w:val="nil"/>
              <w:right w:val="nil"/>
            </w:tcBorders>
            <w:vAlign w:val="bottom"/>
          </w:tcPr>
          <w:p w:rsidR="0073793E" w:rsidRPr="00D91DA9" w:rsidRDefault="0063549C" w:rsidP="006518BF">
            <w:pPr>
              <w:spacing w:after="0" w:line="23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Harmonizing the Physical Planning Act and EMCA to ensure that EIA takes place prior to approval by Physical Planning as part of legislation harmonization </w:t>
            </w:r>
          </w:p>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 </w:t>
            </w:r>
          </w:p>
        </w:tc>
        <w:tc>
          <w:tcPr>
            <w:tcW w:w="4506" w:type="dxa"/>
            <w:gridSpan w:val="2"/>
            <w:tcBorders>
              <w:top w:val="nil"/>
              <w:left w:val="nil"/>
              <w:bottom w:val="nil"/>
              <w:right w:val="nil"/>
            </w:tcBorders>
            <w:vAlign w:val="bottom"/>
          </w:tcPr>
          <w:p w:rsidR="0073793E" w:rsidRPr="006518BF" w:rsidRDefault="0063549C" w:rsidP="006518BF">
            <w:pPr>
              <w:spacing w:after="220" w:line="241"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NEMA,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Government and National Government </w:t>
            </w:r>
          </w:p>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 </w:t>
            </w:r>
          </w:p>
        </w:tc>
      </w:tr>
      <w:tr w:rsidR="0073793E" w:rsidRPr="006518BF">
        <w:trPr>
          <w:trHeight w:val="564"/>
        </w:trPr>
        <w:tc>
          <w:tcPr>
            <w:tcW w:w="5026" w:type="dxa"/>
            <w:gridSpan w:val="2"/>
            <w:tcBorders>
              <w:top w:val="nil"/>
              <w:left w:val="nil"/>
              <w:bottom w:val="nil"/>
              <w:right w:val="nil"/>
            </w:tcBorders>
            <w:vAlign w:val="bottom"/>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Planting of trees at </w:t>
            </w:r>
            <w:proofErr w:type="spellStart"/>
            <w:r w:rsidRPr="00D91DA9">
              <w:rPr>
                <w:rFonts w:ascii="Times New Roman" w:hAnsi="Times New Roman" w:cs="Times New Roman"/>
                <w:sz w:val="24"/>
                <w:szCs w:val="24"/>
              </w:rPr>
              <w:t>Ngong</w:t>
            </w:r>
            <w:proofErr w:type="spellEnd"/>
            <w:r w:rsidRPr="00D91DA9">
              <w:rPr>
                <w:rFonts w:ascii="Times New Roman" w:hAnsi="Times New Roman" w:cs="Times New Roman"/>
                <w:sz w:val="24"/>
                <w:szCs w:val="24"/>
              </w:rPr>
              <w:t xml:space="preserve"> Hills, </w:t>
            </w:r>
            <w:proofErr w:type="spellStart"/>
            <w:r w:rsidRPr="00D91DA9">
              <w:rPr>
                <w:rFonts w:ascii="Times New Roman" w:hAnsi="Times New Roman" w:cs="Times New Roman"/>
                <w:sz w:val="24"/>
                <w:szCs w:val="24"/>
              </w:rPr>
              <w:t>Oloolua</w:t>
            </w:r>
            <w:proofErr w:type="spellEnd"/>
            <w:r w:rsidRPr="00D91DA9">
              <w:rPr>
                <w:rFonts w:ascii="Times New Roman" w:hAnsi="Times New Roman" w:cs="Times New Roman"/>
                <w:sz w:val="24"/>
                <w:szCs w:val="24"/>
              </w:rPr>
              <w:t xml:space="preserve"> and </w:t>
            </w:r>
            <w:proofErr w:type="spellStart"/>
            <w:r w:rsidRPr="00D91DA9">
              <w:rPr>
                <w:rFonts w:ascii="Times New Roman" w:hAnsi="Times New Roman" w:cs="Times New Roman"/>
                <w:sz w:val="24"/>
                <w:szCs w:val="24"/>
              </w:rPr>
              <w:t>Kibiko</w:t>
            </w:r>
            <w:proofErr w:type="spellEnd"/>
            <w:r w:rsidRPr="00D91DA9">
              <w:rPr>
                <w:rFonts w:ascii="Times New Roman" w:hAnsi="Times New Roman" w:cs="Times New Roman"/>
                <w:sz w:val="24"/>
                <w:szCs w:val="24"/>
              </w:rPr>
              <w:t xml:space="preserve"> forests to restore the forest cover. </w:t>
            </w:r>
          </w:p>
        </w:tc>
        <w:tc>
          <w:tcPr>
            <w:tcW w:w="4506" w:type="dxa"/>
            <w:gridSpan w:val="2"/>
            <w:tcBorders>
              <w:top w:val="nil"/>
              <w:left w:val="nil"/>
              <w:bottom w:val="nil"/>
              <w:right w:val="nil"/>
            </w:tcBorders>
            <w:vAlign w:val="bottom"/>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Wildlife, Environment and KWS,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w:t>
            </w:r>
          </w:p>
        </w:tc>
      </w:tr>
      <w:tr w:rsidR="0073793E" w:rsidRPr="006518BF">
        <w:trPr>
          <w:trHeight w:val="448"/>
        </w:trPr>
        <w:tc>
          <w:tcPr>
            <w:tcW w:w="5026" w:type="dxa"/>
            <w:gridSpan w:val="2"/>
            <w:tcBorders>
              <w:top w:val="nil"/>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Formulation of quarrying by laws by </w:t>
            </w:r>
            <w:proofErr w:type="spellStart"/>
            <w:r w:rsidRPr="00D91DA9">
              <w:rPr>
                <w:rFonts w:ascii="Times New Roman" w:hAnsi="Times New Roman" w:cs="Times New Roman"/>
                <w:sz w:val="24"/>
                <w:szCs w:val="24"/>
              </w:rPr>
              <w:t>Kajiado</w:t>
            </w:r>
            <w:proofErr w:type="spellEnd"/>
            <w:r w:rsidRPr="00D91DA9">
              <w:rPr>
                <w:rFonts w:ascii="Times New Roman" w:hAnsi="Times New Roman" w:cs="Times New Roman"/>
                <w:sz w:val="24"/>
                <w:szCs w:val="24"/>
              </w:rPr>
              <w:t xml:space="preserve"> County  </w:t>
            </w:r>
          </w:p>
        </w:tc>
        <w:tc>
          <w:tcPr>
            <w:tcW w:w="4506" w:type="dxa"/>
            <w:gridSpan w:val="2"/>
            <w:tcBorders>
              <w:top w:val="nil"/>
              <w:left w:val="nil"/>
              <w:bottom w:val="nil"/>
              <w:right w:val="nil"/>
            </w:tcBorders>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Physical Planning and NEMA  </w:t>
            </w:r>
            <w:proofErr w:type="spellStart"/>
            <w:r w:rsidRPr="006518BF">
              <w:rPr>
                <w:rFonts w:ascii="Times New Roman" w:hAnsi="Times New Roman" w:cs="Times New Roman"/>
                <w:sz w:val="24"/>
                <w:szCs w:val="24"/>
              </w:rPr>
              <w:t>Kajiado</w:t>
            </w:r>
            <w:proofErr w:type="spellEnd"/>
            <w:r w:rsidRPr="006518BF">
              <w:rPr>
                <w:rFonts w:ascii="Times New Roman" w:hAnsi="Times New Roman" w:cs="Times New Roman"/>
                <w:sz w:val="24"/>
                <w:szCs w:val="24"/>
              </w:rPr>
              <w:t xml:space="preserve"> County </w:t>
            </w:r>
          </w:p>
        </w:tc>
      </w:tr>
      <w:tr w:rsidR="0073793E" w:rsidRPr="006518BF">
        <w:trPr>
          <w:trHeight w:val="983"/>
        </w:trPr>
        <w:tc>
          <w:tcPr>
            <w:tcW w:w="5026" w:type="dxa"/>
            <w:gridSpan w:val="2"/>
            <w:tcBorders>
              <w:top w:val="nil"/>
              <w:left w:val="nil"/>
              <w:bottom w:val="single" w:sz="3" w:space="0" w:color="000000"/>
              <w:right w:val="nil"/>
            </w:tcBorders>
          </w:tcPr>
          <w:p w:rsidR="0073793E" w:rsidRPr="00D91DA9" w:rsidRDefault="0063549C" w:rsidP="006518BF">
            <w:pPr>
              <w:spacing w:after="132" w:line="241"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Government to regulate and manage quarrying activities. </w:t>
            </w:r>
          </w:p>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 </w:t>
            </w:r>
          </w:p>
        </w:tc>
        <w:tc>
          <w:tcPr>
            <w:tcW w:w="4506" w:type="dxa"/>
            <w:gridSpan w:val="2"/>
            <w:tcBorders>
              <w:top w:val="nil"/>
              <w:left w:val="nil"/>
              <w:bottom w:val="single" w:sz="3" w:space="0" w:color="000000"/>
              <w:right w:val="nil"/>
            </w:tcBorders>
          </w:tcPr>
          <w:p w:rsidR="0073793E" w:rsidRPr="006518BF" w:rsidRDefault="0063549C" w:rsidP="006518BF">
            <w:pPr>
              <w:spacing w:after="0" w:line="259" w:lineRule="auto"/>
              <w:ind w:left="4"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enforcement </w:t>
            </w:r>
          </w:p>
        </w:tc>
      </w:tr>
      <w:tr w:rsidR="0073793E" w:rsidRPr="006518BF">
        <w:trPr>
          <w:trHeight w:val="625"/>
        </w:trPr>
        <w:tc>
          <w:tcPr>
            <w:tcW w:w="5026" w:type="dxa"/>
            <w:gridSpan w:val="2"/>
            <w:tcBorders>
              <w:top w:val="single" w:sz="3" w:space="0" w:color="000000"/>
              <w:left w:val="nil"/>
              <w:bottom w:val="single" w:sz="3" w:space="0" w:color="000000"/>
              <w:right w:val="nil"/>
            </w:tcBorders>
          </w:tcPr>
          <w:p w:rsidR="0073793E" w:rsidRPr="006518BF" w:rsidRDefault="0063549C" w:rsidP="006518BF">
            <w:pPr>
              <w:spacing w:after="55"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PHYSICAL INFRASTRUCTURE  </w:t>
            </w:r>
          </w:p>
          <w:p w:rsidR="0073793E" w:rsidRPr="006518BF" w:rsidRDefault="0063549C" w:rsidP="006518BF">
            <w:pPr>
              <w:spacing w:after="0"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PLANS </w:t>
            </w:r>
          </w:p>
        </w:tc>
        <w:tc>
          <w:tcPr>
            <w:tcW w:w="4506" w:type="dxa"/>
            <w:gridSpan w:val="2"/>
            <w:tcBorders>
              <w:top w:val="single" w:sz="3" w:space="0" w:color="000000"/>
              <w:left w:val="nil"/>
              <w:bottom w:val="single" w:sz="3" w:space="0" w:color="000000"/>
              <w:right w:val="nil"/>
            </w:tcBorders>
            <w:vAlign w:val="bottom"/>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INSTITUTION RESPONSIBLE </w:t>
            </w:r>
          </w:p>
        </w:tc>
      </w:tr>
      <w:tr w:rsidR="0073793E" w:rsidRPr="00D91DA9">
        <w:tblPrEx>
          <w:tblCellMar>
            <w:top w:w="0" w:type="dxa"/>
            <w:right w:w="0" w:type="dxa"/>
          </w:tblCellMar>
        </w:tblPrEx>
        <w:trPr>
          <w:gridAfter w:val="1"/>
          <w:wAfter w:w="852" w:type="dxa"/>
          <w:trHeight w:val="258"/>
        </w:trPr>
        <w:tc>
          <w:tcPr>
            <w:tcW w:w="4918" w:type="dxa"/>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Liquid waste - Creation of way leaves  </w:t>
            </w:r>
          </w:p>
        </w:tc>
        <w:tc>
          <w:tcPr>
            <w:tcW w:w="3762" w:type="dxa"/>
            <w:gridSpan w:val="2"/>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Physical Planning </w:t>
            </w:r>
          </w:p>
        </w:tc>
      </w:tr>
      <w:tr w:rsidR="0073793E" w:rsidRPr="00D91DA9">
        <w:tblPrEx>
          <w:tblCellMar>
            <w:top w:w="0" w:type="dxa"/>
            <w:right w:w="0" w:type="dxa"/>
          </w:tblCellMar>
        </w:tblPrEx>
        <w:trPr>
          <w:gridAfter w:val="1"/>
          <w:wAfter w:w="852" w:type="dxa"/>
          <w:trHeight w:val="598"/>
        </w:trPr>
        <w:tc>
          <w:tcPr>
            <w:tcW w:w="4918" w:type="dxa"/>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Compulsory provision of Water harvesting building designs. </w:t>
            </w:r>
          </w:p>
        </w:tc>
        <w:tc>
          <w:tcPr>
            <w:tcW w:w="3762" w:type="dxa"/>
            <w:gridSpan w:val="2"/>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Physical Planning </w:t>
            </w:r>
          </w:p>
        </w:tc>
      </w:tr>
      <w:tr w:rsidR="0073793E" w:rsidRPr="00D91DA9">
        <w:tblPrEx>
          <w:tblCellMar>
            <w:top w:w="0" w:type="dxa"/>
            <w:right w:w="0" w:type="dxa"/>
          </w:tblCellMar>
        </w:tblPrEx>
        <w:trPr>
          <w:gridAfter w:val="1"/>
          <w:wAfter w:w="852" w:type="dxa"/>
          <w:trHeight w:val="898"/>
        </w:trPr>
        <w:tc>
          <w:tcPr>
            <w:tcW w:w="4918" w:type="dxa"/>
            <w:tcBorders>
              <w:top w:val="nil"/>
              <w:left w:val="nil"/>
              <w:bottom w:val="nil"/>
              <w:right w:val="nil"/>
            </w:tcBorders>
            <w:vAlign w:val="center"/>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Water Supply - Increase the communal Water points in the informal settlements of </w:t>
            </w:r>
            <w:proofErr w:type="spellStart"/>
            <w:r w:rsidRPr="00D91DA9">
              <w:rPr>
                <w:rFonts w:ascii="Times New Roman" w:hAnsi="Times New Roman" w:cs="Times New Roman"/>
                <w:sz w:val="24"/>
                <w:szCs w:val="24"/>
              </w:rPr>
              <w:t>Mathare</w:t>
            </w:r>
            <w:proofErr w:type="spellEnd"/>
            <w:r w:rsidRPr="00D91DA9">
              <w:rPr>
                <w:rFonts w:ascii="Times New Roman" w:hAnsi="Times New Roman" w:cs="Times New Roman"/>
                <w:sz w:val="24"/>
                <w:szCs w:val="24"/>
              </w:rPr>
              <w:t xml:space="preserve">, </w:t>
            </w:r>
            <w:proofErr w:type="spellStart"/>
            <w:r w:rsidRPr="00D91DA9">
              <w:rPr>
                <w:rFonts w:ascii="Times New Roman" w:hAnsi="Times New Roman" w:cs="Times New Roman"/>
                <w:sz w:val="24"/>
                <w:szCs w:val="24"/>
              </w:rPr>
              <w:t>Kariobangi</w:t>
            </w:r>
            <w:proofErr w:type="spellEnd"/>
            <w:r w:rsidRPr="00D91DA9">
              <w:rPr>
                <w:rFonts w:ascii="Times New Roman" w:hAnsi="Times New Roman" w:cs="Times New Roman"/>
                <w:sz w:val="24"/>
                <w:szCs w:val="24"/>
              </w:rPr>
              <w:t xml:space="preserve"> and </w:t>
            </w:r>
            <w:proofErr w:type="spellStart"/>
            <w:r w:rsidRPr="00D91DA9">
              <w:rPr>
                <w:rFonts w:ascii="Times New Roman" w:hAnsi="Times New Roman" w:cs="Times New Roman"/>
                <w:sz w:val="24"/>
                <w:szCs w:val="24"/>
              </w:rPr>
              <w:t>Kware</w:t>
            </w:r>
            <w:proofErr w:type="spellEnd"/>
            <w:r w:rsidRPr="00D91DA9">
              <w:rPr>
                <w:rFonts w:ascii="Times New Roman" w:hAnsi="Times New Roman" w:cs="Times New Roman"/>
                <w:sz w:val="24"/>
                <w:szCs w:val="24"/>
              </w:rPr>
              <w:t xml:space="preserve">. </w:t>
            </w:r>
          </w:p>
        </w:tc>
        <w:tc>
          <w:tcPr>
            <w:tcW w:w="3762" w:type="dxa"/>
            <w:gridSpan w:val="2"/>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Water and </w:t>
            </w:r>
            <w:proofErr w:type="spellStart"/>
            <w:r w:rsidRPr="00D91DA9">
              <w:rPr>
                <w:rFonts w:ascii="Times New Roman" w:hAnsi="Times New Roman" w:cs="Times New Roman"/>
                <w:sz w:val="24"/>
                <w:szCs w:val="24"/>
              </w:rPr>
              <w:t>Oloolaiser</w:t>
            </w:r>
            <w:proofErr w:type="spellEnd"/>
            <w:r w:rsidRPr="00D91DA9">
              <w:rPr>
                <w:rFonts w:ascii="Times New Roman" w:hAnsi="Times New Roman" w:cs="Times New Roman"/>
                <w:sz w:val="24"/>
                <w:szCs w:val="24"/>
              </w:rPr>
              <w:t xml:space="preserve"> Water and Sewerage company </w:t>
            </w:r>
          </w:p>
        </w:tc>
      </w:tr>
      <w:tr w:rsidR="0073793E" w:rsidRPr="00D91DA9">
        <w:tblPrEx>
          <w:tblCellMar>
            <w:top w:w="0" w:type="dxa"/>
            <w:right w:w="0" w:type="dxa"/>
          </w:tblCellMar>
        </w:tblPrEx>
        <w:trPr>
          <w:gridAfter w:val="1"/>
          <w:wAfter w:w="852" w:type="dxa"/>
          <w:trHeight w:val="560"/>
        </w:trPr>
        <w:tc>
          <w:tcPr>
            <w:tcW w:w="4918" w:type="dxa"/>
            <w:tcBorders>
              <w:top w:val="nil"/>
              <w:left w:val="nil"/>
              <w:bottom w:val="nil"/>
              <w:right w:val="nil"/>
            </w:tcBorders>
            <w:vAlign w:val="center"/>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Improve/ repair existing primary and secondary drains </w:t>
            </w:r>
          </w:p>
        </w:tc>
        <w:tc>
          <w:tcPr>
            <w:tcW w:w="3762" w:type="dxa"/>
            <w:gridSpan w:val="2"/>
            <w:tcBorders>
              <w:top w:val="nil"/>
              <w:left w:val="nil"/>
              <w:bottom w:val="nil"/>
              <w:right w:val="nil"/>
            </w:tcBorders>
            <w:vAlign w:val="center"/>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Public Works </w:t>
            </w:r>
          </w:p>
        </w:tc>
      </w:tr>
      <w:tr w:rsidR="0073793E" w:rsidRPr="00D91DA9">
        <w:tblPrEx>
          <w:tblCellMar>
            <w:top w:w="0" w:type="dxa"/>
            <w:right w:w="0" w:type="dxa"/>
          </w:tblCellMar>
        </w:tblPrEx>
        <w:trPr>
          <w:gridAfter w:val="1"/>
          <w:wAfter w:w="852" w:type="dxa"/>
          <w:trHeight w:val="484"/>
        </w:trPr>
        <w:tc>
          <w:tcPr>
            <w:tcW w:w="4918" w:type="dxa"/>
            <w:tcBorders>
              <w:top w:val="nil"/>
              <w:left w:val="nil"/>
              <w:bottom w:val="nil"/>
              <w:right w:val="nil"/>
            </w:tcBorders>
            <w:vAlign w:val="bottom"/>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Plantations along natural drains </w:t>
            </w:r>
          </w:p>
        </w:tc>
        <w:tc>
          <w:tcPr>
            <w:tcW w:w="3762" w:type="dxa"/>
            <w:gridSpan w:val="2"/>
            <w:tcBorders>
              <w:top w:val="nil"/>
              <w:left w:val="nil"/>
              <w:bottom w:val="nil"/>
              <w:right w:val="nil"/>
            </w:tcBorders>
            <w:vAlign w:val="bottom"/>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Environment  </w:t>
            </w:r>
          </w:p>
        </w:tc>
      </w:tr>
      <w:tr w:rsidR="0073793E" w:rsidRPr="00D91DA9">
        <w:tblPrEx>
          <w:tblCellMar>
            <w:top w:w="0" w:type="dxa"/>
            <w:right w:w="0" w:type="dxa"/>
          </w:tblCellMar>
        </w:tblPrEx>
        <w:trPr>
          <w:gridAfter w:val="1"/>
          <w:wAfter w:w="852" w:type="dxa"/>
          <w:trHeight w:val="636"/>
        </w:trPr>
        <w:tc>
          <w:tcPr>
            <w:tcW w:w="4918" w:type="dxa"/>
            <w:tcBorders>
              <w:top w:val="nil"/>
              <w:left w:val="nil"/>
              <w:bottom w:val="nil"/>
              <w:right w:val="nil"/>
            </w:tcBorders>
          </w:tcPr>
          <w:p w:rsidR="0073793E" w:rsidRPr="00D91DA9" w:rsidRDefault="0063549C" w:rsidP="006518BF">
            <w:pPr>
              <w:spacing w:after="0" w:line="259" w:lineRule="auto"/>
              <w:ind w:left="0" w:right="77" w:firstLine="0"/>
              <w:rPr>
                <w:rFonts w:ascii="Times New Roman" w:hAnsi="Times New Roman" w:cs="Times New Roman"/>
                <w:sz w:val="24"/>
                <w:szCs w:val="24"/>
              </w:rPr>
            </w:pPr>
            <w:r w:rsidRPr="00D91DA9">
              <w:rPr>
                <w:rFonts w:ascii="Times New Roman" w:hAnsi="Times New Roman" w:cs="Times New Roman"/>
                <w:sz w:val="24"/>
                <w:szCs w:val="24"/>
              </w:rPr>
              <w:lastRenderedPageBreak/>
              <w:t xml:space="preserve">Energy - Compulsory installation of solar panels for every new building </w:t>
            </w:r>
          </w:p>
        </w:tc>
        <w:tc>
          <w:tcPr>
            <w:tcW w:w="3762" w:type="dxa"/>
            <w:gridSpan w:val="2"/>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Physical Planning and energy </w:t>
            </w:r>
          </w:p>
        </w:tc>
      </w:tr>
      <w:tr w:rsidR="0073793E" w:rsidRPr="00D91DA9">
        <w:tblPrEx>
          <w:tblCellMar>
            <w:top w:w="0" w:type="dxa"/>
            <w:right w:w="0" w:type="dxa"/>
          </w:tblCellMar>
        </w:tblPrEx>
        <w:trPr>
          <w:gridAfter w:val="1"/>
          <w:wAfter w:w="852" w:type="dxa"/>
          <w:trHeight w:val="672"/>
        </w:trPr>
        <w:tc>
          <w:tcPr>
            <w:tcW w:w="4918" w:type="dxa"/>
            <w:tcBorders>
              <w:top w:val="nil"/>
              <w:left w:val="nil"/>
              <w:bottom w:val="nil"/>
              <w:right w:val="nil"/>
            </w:tcBorders>
            <w:vAlign w:val="center"/>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Solid waste management - Employment generation at waste collection recycling </w:t>
            </w:r>
            <w:proofErr w:type="spellStart"/>
            <w:r w:rsidRPr="00D91DA9">
              <w:rPr>
                <w:rFonts w:ascii="Times New Roman" w:hAnsi="Times New Roman" w:cs="Times New Roman"/>
                <w:sz w:val="24"/>
                <w:szCs w:val="24"/>
              </w:rPr>
              <w:t>centres</w:t>
            </w:r>
            <w:proofErr w:type="spellEnd"/>
            <w:r w:rsidRPr="00D91DA9">
              <w:rPr>
                <w:rFonts w:ascii="Times New Roman" w:hAnsi="Times New Roman" w:cs="Times New Roman"/>
                <w:sz w:val="24"/>
                <w:szCs w:val="24"/>
              </w:rPr>
              <w:t xml:space="preserve"> </w:t>
            </w:r>
          </w:p>
        </w:tc>
        <w:tc>
          <w:tcPr>
            <w:tcW w:w="3762" w:type="dxa"/>
            <w:gridSpan w:val="2"/>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Human Resource </w:t>
            </w:r>
          </w:p>
        </w:tc>
      </w:tr>
      <w:tr w:rsidR="0073793E" w:rsidRPr="00D91DA9">
        <w:tblPrEx>
          <w:tblCellMar>
            <w:top w:w="0" w:type="dxa"/>
            <w:right w:w="0" w:type="dxa"/>
          </w:tblCellMar>
        </w:tblPrEx>
        <w:trPr>
          <w:gridAfter w:val="1"/>
          <w:wAfter w:w="852" w:type="dxa"/>
          <w:trHeight w:val="298"/>
        </w:trPr>
        <w:tc>
          <w:tcPr>
            <w:tcW w:w="4918" w:type="dxa"/>
            <w:tcBorders>
              <w:top w:val="nil"/>
              <w:left w:val="nil"/>
              <w:bottom w:val="nil"/>
              <w:right w:val="nil"/>
            </w:tcBorders>
            <w:vAlign w:val="bottom"/>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Set up waste dustbins along the streets and at the CBD </w:t>
            </w:r>
          </w:p>
        </w:tc>
        <w:tc>
          <w:tcPr>
            <w:tcW w:w="3762" w:type="dxa"/>
            <w:gridSpan w:val="2"/>
            <w:tcBorders>
              <w:top w:val="nil"/>
              <w:left w:val="nil"/>
              <w:bottom w:val="nil"/>
              <w:right w:val="nil"/>
            </w:tcBorders>
            <w:vAlign w:val="bottom"/>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Environment and NEMA </w:t>
            </w:r>
          </w:p>
        </w:tc>
      </w:tr>
    </w:tbl>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 </w:t>
      </w:r>
    </w:p>
    <w:tbl>
      <w:tblPr>
        <w:tblStyle w:val="TableGrid"/>
        <w:tblW w:w="9519" w:type="dxa"/>
        <w:tblInd w:w="-108" w:type="dxa"/>
        <w:tblCellMar>
          <w:top w:w="44" w:type="dxa"/>
          <w:bottom w:w="75" w:type="dxa"/>
          <w:right w:w="154" w:type="dxa"/>
        </w:tblCellMar>
        <w:tblLook w:val="04A0" w:firstRow="1" w:lastRow="0" w:firstColumn="1" w:lastColumn="0" w:noHBand="0" w:noVBand="1"/>
      </w:tblPr>
      <w:tblGrid>
        <w:gridCol w:w="5026"/>
        <w:gridCol w:w="4493"/>
      </w:tblGrid>
      <w:tr w:rsidR="0073793E" w:rsidRPr="006518BF">
        <w:trPr>
          <w:trHeight w:val="625"/>
        </w:trPr>
        <w:tc>
          <w:tcPr>
            <w:tcW w:w="5026" w:type="dxa"/>
            <w:tcBorders>
              <w:top w:val="single" w:sz="3" w:space="0" w:color="000000"/>
              <w:left w:val="nil"/>
              <w:bottom w:val="single" w:sz="3" w:space="0" w:color="000000"/>
              <w:right w:val="nil"/>
            </w:tcBorders>
          </w:tcPr>
          <w:p w:rsidR="0073793E" w:rsidRPr="006518BF" w:rsidRDefault="0063549C" w:rsidP="006518BF">
            <w:pPr>
              <w:spacing w:after="55"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SOCIAL INFRASTRUCTURE  </w:t>
            </w:r>
          </w:p>
          <w:p w:rsidR="0073793E" w:rsidRPr="006518BF" w:rsidRDefault="0063549C" w:rsidP="006518BF">
            <w:pPr>
              <w:spacing w:after="0"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PLANS </w:t>
            </w:r>
          </w:p>
        </w:tc>
        <w:tc>
          <w:tcPr>
            <w:tcW w:w="4494" w:type="dxa"/>
            <w:tcBorders>
              <w:top w:val="single" w:sz="3" w:space="0" w:color="000000"/>
              <w:left w:val="nil"/>
              <w:bottom w:val="single" w:sz="3" w:space="0" w:color="000000"/>
              <w:right w:val="nil"/>
            </w:tcBorders>
            <w:vAlign w:val="bottom"/>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INSTITUTION RESPONSIBLE </w:t>
            </w:r>
          </w:p>
        </w:tc>
      </w:tr>
      <w:tr w:rsidR="0073793E" w:rsidRPr="006518BF">
        <w:trPr>
          <w:trHeight w:val="306"/>
        </w:trPr>
        <w:tc>
          <w:tcPr>
            <w:tcW w:w="5026" w:type="dxa"/>
            <w:tcBorders>
              <w:top w:val="single" w:sz="3" w:space="0" w:color="000000"/>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Construction of public primary schools  </w:t>
            </w:r>
          </w:p>
        </w:tc>
        <w:tc>
          <w:tcPr>
            <w:tcW w:w="4494" w:type="dxa"/>
            <w:tcBorders>
              <w:top w:val="single" w:sz="3" w:space="0" w:color="000000"/>
              <w:left w:val="nil"/>
              <w:bottom w:val="nil"/>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Education and Public Works </w:t>
            </w:r>
          </w:p>
        </w:tc>
      </w:tr>
      <w:tr w:rsidR="0073793E" w:rsidRPr="006518BF">
        <w:trPr>
          <w:trHeight w:val="334"/>
        </w:trPr>
        <w:tc>
          <w:tcPr>
            <w:tcW w:w="5026" w:type="dxa"/>
            <w:tcBorders>
              <w:top w:val="nil"/>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Construction of Secondary schools </w:t>
            </w:r>
          </w:p>
        </w:tc>
        <w:tc>
          <w:tcPr>
            <w:tcW w:w="4494" w:type="dxa"/>
            <w:tcBorders>
              <w:top w:val="nil"/>
              <w:left w:val="nil"/>
              <w:bottom w:val="nil"/>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Education and Public Works </w:t>
            </w:r>
          </w:p>
        </w:tc>
      </w:tr>
      <w:tr w:rsidR="0073793E" w:rsidRPr="006518BF">
        <w:trPr>
          <w:trHeight w:val="1223"/>
        </w:trPr>
        <w:tc>
          <w:tcPr>
            <w:tcW w:w="5026" w:type="dxa"/>
            <w:tcBorders>
              <w:top w:val="nil"/>
              <w:left w:val="nil"/>
              <w:bottom w:val="single" w:sz="3" w:space="0" w:color="000000"/>
              <w:right w:val="nil"/>
            </w:tcBorders>
          </w:tcPr>
          <w:p w:rsidR="0073793E" w:rsidRPr="00D91DA9" w:rsidRDefault="0063549C" w:rsidP="006518BF">
            <w:pPr>
              <w:spacing w:after="527"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Designate areas for public cemeteries and crematorium </w:t>
            </w:r>
          </w:p>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 </w:t>
            </w:r>
          </w:p>
        </w:tc>
        <w:tc>
          <w:tcPr>
            <w:tcW w:w="4494" w:type="dxa"/>
            <w:tcBorders>
              <w:top w:val="nil"/>
              <w:left w:val="nil"/>
              <w:bottom w:val="single" w:sz="3" w:space="0" w:color="000000"/>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Physical Planning </w:t>
            </w:r>
          </w:p>
        </w:tc>
      </w:tr>
      <w:tr w:rsidR="0073793E" w:rsidRPr="006518BF">
        <w:trPr>
          <w:trHeight w:val="626"/>
        </w:trPr>
        <w:tc>
          <w:tcPr>
            <w:tcW w:w="5026" w:type="dxa"/>
            <w:tcBorders>
              <w:top w:val="single" w:sz="3" w:space="0" w:color="000000"/>
              <w:left w:val="nil"/>
              <w:bottom w:val="single" w:sz="3" w:space="0" w:color="000000"/>
              <w:right w:val="nil"/>
            </w:tcBorders>
          </w:tcPr>
          <w:p w:rsidR="0073793E" w:rsidRPr="006518BF" w:rsidRDefault="0063549C" w:rsidP="006518BF">
            <w:pPr>
              <w:spacing w:after="55"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LOCAL ECONOMY  </w:t>
            </w:r>
          </w:p>
          <w:p w:rsidR="0073793E" w:rsidRPr="006518BF" w:rsidRDefault="0063549C" w:rsidP="006518BF">
            <w:pPr>
              <w:spacing w:after="0"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PLANS </w:t>
            </w:r>
          </w:p>
        </w:tc>
        <w:tc>
          <w:tcPr>
            <w:tcW w:w="4494" w:type="dxa"/>
            <w:tcBorders>
              <w:top w:val="single" w:sz="3" w:space="0" w:color="000000"/>
              <w:left w:val="nil"/>
              <w:bottom w:val="single" w:sz="3" w:space="0" w:color="000000"/>
              <w:right w:val="nil"/>
            </w:tcBorders>
            <w:vAlign w:val="bottom"/>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INSTITUTION RESPONSIBLE </w:t>
            </w:r>
          </w:p>
        </w:tc>
      </w:tr>
      <w:tr w:rsidR="0073793E" w:rsidRPr="006518BF">
        <w:trPr>
          <w:trHeight w:val="568"/>
        </w:trPr>
        <w:tc>
          <w:tcPr>
            <w:tcW w:w="5026" w:type="dxa"/>
            <w:tcBorders>
              <w:top w:val="single" w:sz="3" w:space="0" w:color="000000"/>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Construction of markets at </w:t>
            </w:r>
            <w:proofErr w:type="spellStart"/>
            <w:r w:rsidRPr="00D91DA9">
              <w:rPr>
                <w:rFonts w:ascii="Times New Roman" w:hAnsi="Times New Roman" w:cs="Times New Roman"/>
                <w:sz w:val="24"/>
                <w:szCs w:val="24"/>
              </w:rPr>
              <w:t>Ngong</w:t>
            </w:r>
            <w:proofErr w:type="spellEnd"/>
            <w:r w:rsidRPr="00D91DA9">
              <w:rPr>
                <w:rFonts w:ascii="Times New Roman" w:hAnsi="Times New Roman" w:cs="Times New Roman"/>
                <w:sz w:val="24"/>
                <w:szCs w:val="24"/>
              </w:rPr>
              <w:t xml:space="preserve">, </w:t>
            </w:r>
            <w:proofErr w:type="spellStart"/>
            <w:r w:rsidRPr="00D91DA9">
              <w:rPr>
                <w:rFonts w:ascii="Times New Roman" w:hAnsi="Times New Roman" w:cs="Times New Roman"/>
                <w:sz w:val="24"/>
                <w:szCs w:val="24"/>
              </w:rPr>
              <w:t>Rongai</w:t>
            </w:r>
            <w:proofErr w:type="spellEnd"/>
            <w:r w:rsidRPr="00D91DA9">
              <w:rPr>
                <w:rFonts w:ascii="Times New Roman" w:hAnsi="Times New Roman" w:cs="Times New Roman"/>
                <w:sz w:val="24"/>
                <w:szCs w:val="24"/>
              </w:rPr>
              <w:t xml:space="preserve"> and </w:t>
            </w:r>
            <w:proofErr w:type="spellStart"/>
            <w:r w:rsidRPr="00D91DA9">
              <w:rPr>
                <w:rFonts w:ascii="Times New Roman" w:hAnsi="Times New Roman" w:cs="Times New Roman"/>
                <w:sz w:val="24"/>
                <w:szCs w:val="24"/>
              </w:rPr>
              <w:t>Matasia</w:t>
            </w:r>
            <w:proofErr w:type="spellEnd"/>
            <w:r w:rsidRPr="00D91DA9">
              <w:rPr>
                <w:rFonts w:ascii="Times New Roman" w:hAnsi="Times New Roman" w:cs="Times New Roman"/>
                <w:sz w:val="24"/>
                <w:szCs w:val="24"/>
              </w:rPr>
              <w:t xml:space="preserve"> will enhance the local economy. </w:t>
            </w:r>
          </w:p>
        </w:tc>
        <w:tc>
          <w:tcPr>
            <w:tcW w:w="4494" w:type="dxa"/>
            <w:tcBorders>
              <w:top w:val="single" w:sz="3" w:space="0" w:color="000000"/>
              <w:left w:val="nil"/>
              <w:bottom w:val="nil"/>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Trade, Economic Planning and Finance </w:t>
            </w:r>
          </w:p>
        </w:tc>
      </w:tr>
      <w:tr w:rsidR="0073793E" w:rsidRPr="006518BF">
        <w:trPr>
          <w:trHeight w:val="636"/>
        </w:trPr>
        <w:tc>
          <w:tcPr>
            <w:tcW w:w="5026" w:type="dxa"/>
            <w:tcBorders>
              <w:top w:val="nil"/>
              <w:left w:val="nil"/>
              <w:bottom w:val="nil"/>
              <w:right w:val="nil"/>
            </w:tcBorders>
            <w:vAlign w:val="center"/>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Use of Halal land as an abattoir and animal value addition </w:t>
            </w:r>
          </w:p>
        </w:tc>
        <w:tc>
          <w:tcPr>
            <w:tcW w:w="4494" w:type="dxa"/>
            <w:tcBorders>
              <w:top w:val="nil"/>
              <w:left w:val="nil"/>
              <w:bottom w:val="nil"/>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Agriculture </w:t>
            </w:r>
          </w:p>
        </w:tc>
      </w:tr>
      <w:tr w:rsidR="0073793E" w:rsidRPr="006518BF">
        <w:trPr>
          <w:trHeight w:val="960"/>
        </w:trPr>
        <w:tc>
          <w:tcPr>
            <w:tcW w:w="5026" w:type="dxa"/>
            <w:tcBorders>
              <w:top w:val="nil"/>
              <w:left w:val="nil"/>
              <w:bottom w:val="single" w:sz="3" w:space="0" w:color="000000"/>
              <w:right w:val="nil"/>
            </w:tcBorders>
            <w:vAlign w:val="center"/>
          </w:tcPr>
          <w:p w:rsidR="0073793E" w:rsidRPr="00D91DA9" w:rsidRDefault="0063549C" w:rsidP="006518BF">
            <w:pPr>
              <w:spacing w:after="214"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Growth of </w:t>
            </w:r>
            <w:proofErr w:type="spellStart"/>
            <w:r w:rsidRPr="00D91DA9">
              <w:rPr>
                <w:rFonts w:ascii="Times New Roman" w:hAnsi="Times New Roman" w:cs="Times New Roman"/>
                <w:sz w:val="24"/>
                <w:szCs w:val="24"/>
              </w:rPr>
              <w:t>jua</w:t>
            </w:r>
            <w:proofErr w:type="spellEnd"/>
            <w:r w:rsidRPr="00D91DA9">
              <w:rPr>
                <w:rFonts w:ascii="Times New Roman" w:hAnsi="Times New Roman" w:cs="Times New Roman"/>
                <w:sz w:val="24"/>
                <w:szCs w:val="24"/>
              </w:rPr>
              <w:t xml:space="preserve"> kali industries to cottages </w:t>
            </w:r>
          </w:p>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 </w:t>
            </w:r>
          </w:p>
        </w:tc>
        <w:tc>
          <w:tcPr>
            <w:tcW w:w="4494" w:type="dxa"/>
            <w:tcBorders>
              <w:top w:val="nil"/>
              <w:left w:val="nil"/>
              <w:bottom w:val="single" w:sz="3" w:space="0" w:color="000000"/>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Trade and Physical Planning </w:t>
            </w:r>
          </w:p>
        </w:tc>
      </w:tr>
      <w:tr w:rsidR="0073793E" w:rsidRPr="006518BF">
        <w:trPr>
          <w:trHeight w:val="625"/>
        </w:trPr>
        <w:tc>
          <w:tcPr>
            <w:tcW w:w="5026" w:type="dxa"/>
            <w:tcBorders>
              <w:top w:val="single" w:sz="3" w:space="0" w:color="000000"/>
              <w:left w:val="nil"/>
              <w:bottom w:val="single" w:sz="3" w:space="0" w:color="000000"/>
              <w:right w:val="nil"/>
            </w:tcBorders>
          </w:tcPr>
          <w:p w:rsidR="0073793E" w:rsidRPr="006518BF" w:rsidRDefault="0063549C" w:rsidP="006518BF">
            <w:pPr>
              <w:spacing w:after="55"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HOUSING SECTOR  </w:t>
            </w:r>
          </w:p>
          <w:p w:rsidR="0073793E" w:rsidRPr="006518BF" w:rsidRDefault="0063549C" w:rsidP="006518BF">
            <w:pPr>
              <w:spacing w:after="0"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PLANS </w:t>
            </w:r>
          </w:p>
        </w:tc>
        <w:tc>
          <w:tcPr>
            <w:tcW w:w="4494" w:type="dxa"/>
            <w:tcBorders>
              <w:top w:val="single" w:sz="3" w:space="0" w:color="000000"/>
              <w:left w:val="nil"/>
              <w:bottom w:val="single" w:sz="3" w:space="0" w:color="000000"/>
              <w:right w:val="nil"/>
            </w:tcBorders>
            <w:vAlign w:val="bottom"/>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INSTITUTION RESPONSIBLE </w:t>
            </w:r>
          </w:p>
        </w:tc>
      </w:tr>
      <w:tr w:rsidR="0073793E" w:rsidRPr="006518BF">
        <w:trPr>
          <w:trHeight w:val="567"/>
        </w:trPr>
        <w:tc>
          <w:tcPr>
            <w:tcW w:w="5026" w:type="dxa"/>
            <w:tcBorders>
              <w:top w:val="single" w:sz="3" w:space="0" w:color="000000"/>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Directing urban growth to the CBD away from </w:t>
            </w:r>
          </w:p>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Environmentally sensitive locations. </w:t>
            </w:r>
          </w:p>
        </w:tc>
        <w:tc>
          <w:tcPr>
            <w:tcW w:w="4494" w:type="dxa"/>
            <w:tcBorders>
              <w:top w:val="single" w:sz="3" w:space="0" w:color="000000"/>
              <w:left w:val="nil"/>
              <w:bottom w:val="nil"/>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Physical Planning </w:t>
            </w:r>
          </w:p>
        </w:tc>
      </w:tr>
      <w:tr w:rsidR="0073793E" w:rsidRPr="006518BF">
        <w:trPr>
          <w:trHeight w:val="634"/>
        </w:trPr>
        <w:tc>
          <w:tcPr>
            <w:tcW w:w="5026" w:type="dxa"/>
            <w:tcBorders>
              <w:top w:val="nil"/>
              <w:left w:val="nil"/>
              <w:bottom w:val="nil"/>
              <w:right w:val="nil"/>
            </w:tcBorders>
            <w:vAlign w:val="center"/>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Creation of urban limits through delineation of a 5km radius from the CBD  </w:t>
            </w:r>
          </w:p>
        </w:tc>
        <w:tc>
          <w:tcPr>
            <w:tcW w:w="4494" w:type="dxa"/>
            <w:tcBorders>
              <w:top w:val="nil"/>
              <w:left w:val="nil"/>
              <w:bottom w:val="nil"/>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Physical Planning </w:t>
            </w:r>
          </w:p>
        </w:tc>
      </w:tr>
      <w:tr w:rsidR="0073793E" w:rsidRPr="006518BF">
        <w:trPr>
          <w:trHeight w:val="778"/>
        </w:trPr>
        <w:tc>
          <w:tcPr>
            <w:tcW w:w="5026" w:type="dxa"/>
            <w:tcBorders>
              <w:top w:val="nil"/>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Implementing  and enforcement of zoning policies  </w:t>
            </w:r>
          </w:p>
        </w:tc>
        <w:tc>
          <w:tcPr>
            <w:tcW w:w="4494" w:type="dxa"/>
            <w:tcBorders>
              <w:top w:val="nil"/>
              <w:left w:val="nil"/>
              <w:bottom w:val="nil"/>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Physical Planning and enforcement and development control </w:t>
            </w:r>
          </w:p>
        </w:tc>
      </w:tr>
      <w:tr w:rsidR="0073793E" w:rsidRPr="006518BF">
        <w:trPr>
          <w:trHeight w:val="920"/>
        </w:trPr>
        <w:tc>
          <w:tcPr>
            <w:tcW w:w="5026" w:type="dxa"/>
            <w:tcBorders>
              <w:top w:val="nil"/>
              <w:left w:val="nil"/>
              <w:bottom w:val="nil"/>
              <w:right w:val="nil"/>
            </w:tcBorders>
            <w:vAlign w:val="center"/>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Increase plot ratios to 4 and the number of floors at the </w:t>
            </w:r>
          </w:p>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CBD </w:t>
            </w:r>
          </w:p>
        </w:tc>
        <w:tc>
          <w:tcPr>
            <w:tcW w:w="4494" w:type="dxa"/>
            <w:tcBorders>
              <w:top w:val="nil"/>
              <w:left w:val="nil"/>
              <w:bottom w:val="nil"/>
              <w:right w:val="nil"/>
            </w:tcBorders>
            <w:vAlign w:val="center"/>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Department of Physical Planning  and developm</w:t>
            </w:r>
            <w:bookmarkStart w:id="0" w:name="_GoBack"/>
            <w:bookmarkEnd w:id="0"/>
            <w:r w:rsidRPr="006518BF">
              <w:rPr>
                <w:rFonts w:ascii="Times New Roman" w:hAnsi="Times New Roman" w:cs="Times New Roman"/>
                <w:sz w:val="24"/>
                <w:szCs w:val="24"/>
              </w:rPr>
              <w:t xml:space="preserve">ent control </w:t>
            </w:r>
          </w:p>
        </w:tc>
      </w:tr>
      <w:tr w:rsidR="0073793E" w:rsidRPr="006518BF">
        <w:trPr>
          <w:trHeight w:val="1347"/>
        </w:trPr>
        <w:tc>
          <w:tcPr>
            <w:tcW w:w="5026" w:type="dxa"/>
            <w:tcBorders>
              <w:top w:val="nil"/>
              <w:left w:val="nil"/>
              <w:bottom w:val="single" w:sz="3" w:space="0" w:color="000000"/>
              <w:right w:val="nil"/>
            </w:tcBorders>
            <w:vAlign w:val="center"/>
          </w:tcPr>
          <w:p w:rsidR="0073793E" w:rsidRPr="00D91DA9" w:rsidRDefault="0063549C" w:rsidP="006518BF">
            <w:pPr>
              <w:spacing w:after="471"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lastRenderedPageBreak/>
              <w:t xml:space="preserve">Formulate housing policy for the County. </w:t>
            </w:r>
          </w:p>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 </w:t>
            </w:r>
          </w:p>
        </w:tc>
        <w:tc>
          <w:tcPr>
            <w:tcW w:w="4494" w:type="dxa"/>
            <w:tcBorders>
              <w:top w:val="nil"/>
              <w:left w:val="nil"/>
              <w:bottom w:val="single" w:sz="3" w:space="0" w:color="000000"/>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Physical Planning and housing and development control </w:t>
            </w:r>
          </w:p>
        </w:tc>
      </w:tr>
      <w:tr w:rsidR="0073793E" w:rsidRPr="006518BF">
        <w:trPr>
          <w:trHeight w:val="626"/>
        </w:trPr>
        <w:tc>
          <w:tcPr>
            <w:tcW w:w="5026" w:type="dxa"/>
            <w:tcBorders>
              <w:top w:val="single" w:sz="3" w:space="0" w:color="000000"/>
              <w:left w:val="nil"/>
              <w:bottom w:val="single" w:sz="3" w:space="0" w:color="000000"/>
              <w:right w:val="nil"/>
            </w:tcBorders>
          </w:tcPr>
          <w:p w:rsidR="0073793E" w:rsidRPr="006518BF" w:rsidRDefault="0063549C" w:rsidP="006518BF">
            <w:pPr>
              <w:spacing w:after="55"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TRANSPORTATION </w:t>
            </w:r>
          </w:p>
          <w:p w:rsidR="0073793E" w:rsidRPr="006518BF" w:rsidRDefault="0063549C" w:rsidP="006518BF">
            <w:pPr>
              <w:spacing w:after="0"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PLANS </w:t>
            </w:r>
          </w:p>
        </w:tc>
        <w:tc>
          <w:tcPr>
            <w:tcW w:w="4494" w:type="dxa"/>
            <w:tcBorders>
              <w:top w:val="single" w:sz="3" w:space="0" w:color="000000"/>
              <w:left w:val="nil"/>
              <w:bottom w:val="single" w:sz="3" w:space="0" w:color="000000"/>
              <w:right w:val="nil"/>
            </w:tcBorders>
            <w:vAlign w:val="bottom"/>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INSTITUTION RESPONSIBLE </w:t>
            </w:r>
          </w:p>
        </w:tc>
      </w:tr>
    </w:tbl>
    <w:p w:rsidR="0073793E" w:rsidRPr="00D91DA9" w:rsidRDefault="0063549C" w:rsidP="006518BF">
      <w:pPr>
        <w:tabs>
          <w:tab w:val="center" w:pos="6969"/>
        </w:tabs>
        <w:spacing w:after="3" w:line="259" w:lineRule="auto"/>
        <w:ind w:left="-15" w:right="0" w:firstLine="0"/>
        <w:rPr>
          <w:rFonts w:ascii="Times New Roman" w:hAnsi="Times New Roman" w:cs="Times New Roman"/>
          <w:sz w:val="24"/>
          <w:szCs w:val="24"/>
        </w:rPr>
      </w:pPr>
      <w:r w:rsidRPr="00D91DA9">
        <w:rPr>
          <w:rFonts w:ascii="Times New Roman" w:hAnsi="Times New Roman" w:cs="Times New Roman"/>
          <w:sz w:val="24"/>
          <w:szCs w:val="24"/>
        </w:rPr>
        <w:t xml:space="preserve">Classification of road into hierarchies </w:t>
      </w:r>
      <w:r w:rsidRPr="00D91DA9">
        <w:rPr>
          <w:rFonts w:ascii="Times New Roman" w:hAnsi="Times New Roman" w:cs="Times New Roman"/>
          <w:sz w:val="24"/>
          <w:szCs w:val="24"/>
        </w:rPr>
        <w:tab/>
      </w:r>
      <w:r w:rsidR="00D91DA9">
        <w:rPr>
          <w:rFonts w:ascii="Times New Roman" w:hAnsi="Times New Roman" w:cs="Times New Roman"/>
          <w:sz w:val="24"/>
          <w:szCs w:val="24"/>
        </w:rPr>
        <w:t xml:space="preserve">     </w:t>
      </w:r>
      <w:r w:rsidRPr="00D91DA9">
        <w:rPr>
          <w:rFonts w:ascii="Times New Roman" w:hAnsi="Times New Roman" w:cs="Times New Roman"/>
          <w:sz w:val="24"/>
          <w:szCs w:val="24"/>
        </w:rPr>
        <w:t xml:space="preserve">Department of Physical </w:t>
      </w:r>
      <w:r w:rsidR="00D91DA9" w:rsidRPr="00D91DA9">
        <w:rPr>
          <w:rFonts w:ascii="Times New Roman" w:hAnsi="Times New Roman" w:cs="Times New Roman"/>
          <w:sz w:val="24"/>
          <w:szCs w:val="24"/>
        </w:rPr>
        <w:t>Planning, Roads</w:t>
      </w:r>
      <w:r w:rsidRPr="00D91DA9">
        <w:rPr>
          <w:rFonts w:ascii="Times New Roman" w:hAnsi="Times New Roman" w:cs="Times New Roman"/>
          <w:sz w:val="24"/>
          <w:szCs w:val="24"/>
        </w:rPr>
        <w:t xml:space="preserve">, Transport, </w:t>
      </w:r>
    </w:p>
    <w:p w:rsidR="0073793E" w:rsidRPr="00D91DA9" w:rsidRDefault="0063549C" w:rsidP="006518BF">
      <w:pPr>
        <w:spacing w:after="483" w:line="259" w:lineRule="auto"/>
        <w:ind w:left="1893" w:right="0" w:firstLine="0"/>
        <w:rPr>
          <w:rFonts w:ascii="Times New Roman" w:hAnsi="Times New Roman" w:cs="Times New Roman"/>
          <w:sz w:val="24"/>
          <w:szCs w:val="24"/>
        </w:rPr>
      </w:pPr>
      <w:r w:rsidRPr="00D91DA9">
        <w:rPr>
          <w:rFonts w:ascii="Times New Roman" w:hAnsi="Times New Roman" w:cs="Times New Roman"/>
          <w:sz w:val="24"/>
          <w:szCs w:val="24"/>
        </w:rPr>
        <w:t xml:space="preserve">KENHA, KURA </w:t>
      </w:r>
    </w:p>
    <w:p w:rsidR="0073793E" w:rsidRPr="00D91DA9" w:rsidRDefault="0063549C" w:rsidP="006518BF">
      <w:pPr>
        <w:spacing w:after="285"/>
        <w:ind w:left="-5" w:right="574"/>
        <w:rPr>
          <w:rFonts w:ascii="Times New Roman" w:hAnsi="Times New Roman" w:cs="Times New Roman"/>
          <w:sz w:val="24"/>
          <w:szCs w:val="24"/>
        </w:rPr>
      </w:pPr>
      <w:r w:rsidRPr="00D91DA9">
        <w:rPr>
          <w:rFonts w:ascii="Times New Roman" w:hAnsi="Times New Roman" w:cs="Times New Roman"/>
          <w:sz w:val="24"/>
          <w:szCs w:val="24"/>
        </w:rPr>
        <w:t>Construction of multi-</w:t>
      </w:r>
      <w:proofErr w:type="spellStart"/>
      <w:r w:rsidRPr="00D91DA9">
        <w:rPr>
          <w:rFonts w:ascii="Times New Roman" w:hAnsi="Times New Roman" w:cs="Times New Roman"/>
          <w:sz w:val="24"/>
          <w:szCs w:val="24"/>
        </w:rPr>
        <w:t>storey</w:t>
      </w:r>
      <w:proofErr w:type="spellEnd"/>
      <w:r w:rsidRPr="00D91DA9">
        <w:rPr>
          <w:rFonts w:ascii="Times New Roman" w:hAnsi="Times New Roman" w:cs="Times New Roman"/>
          <w:sz w:val="24"/>
          <w:szCs w:val="24"/>
        </w:rPr>
        <w:t xml:space="preserve"> parking facilities at the </w:t>
      </w:r>
      <w:r w:rsidRPr="00D91DA9">
        <w:rPr>
          <w:rFonts w:ascii="Times New Roman" w:hAnsi="Times New Roman" w:cs="Times New Roman"/>
          <w:sz w:val="24"/>
          <w:szCs w:val="24"/>
        </w:rPr>
        <w:tab/>
        <w:t xml:space="preserve">Department of Trade, Public Works and Physical </w:t>
      </w:r>
      <w:proofErr w:type="spellStart"/>
      <w:r w:rsidRPr="00D91DA9">
        <w:rPr>
          <w:rFonts w:ascii="Times New Roman" w:hAnsi="Times New Roman" w:cs="Times New Roman"/>
          <w:sz w:val="24"/>
          <w:szCs w:val="24"/>
        </w:rPr>
        <w:t>Ngong</w:t>
      </w:r>
      <w:proofErr w:type="spellEnd"/>
      <w:r w:rsidRPr="00D91DA9">
        <w:rPr>
          <w:rFonts w:ascii="Times New Roman" w:hAnsi="Times New Roman" w:cs="Times New Roman"/>
          <w:sz w:val="24"/>
          <w:szCs w:val="24"/>
        </w:rPr>
        <w:t xml:space="preserve"> bus park and in commercial building at the </w:t>
      </w:r>
      <w:r w:rsidRPr="00D91DA9">
        <w:rPr>
          <w:rFonts w:ascii="Times New Roman" w:hAnsi="Times New Roman" w:cs="Times New Roman"/>
          <w:sz w:val="24"/>
          <w:szCs w:val="24"/>
        </w:rPr>
        <w:tab/>
        <w:t xml:space="preserve">Planning CBD’s </w:t>
      </w:r>
    </w:p>
    <w:p w:rsidR="0073793E" w:rsidRPr="00D91DA9" w:rsidRDefault="0063549C" w:rsidP="006518BF">
      <w:pPr>
        <w:tabs>
          <w:tab w:val="center" w:pos="5910"/>
        </w:tabs>
        <w:spacing w:after="131"/>
        <w:ind w:left="-15" w:right="0" w:firstLine="0"/>
        <w:rPr>
          <w:rFonts w:ascii="Times New Roman" w:hAnsi="Times New Roman" w:cs="Times New Roman"/>
          <w:sz w:val="24"/>
          <w:szCs w:val="24"/>
        </w:rPr>
      </w:pPr>
      <w:r w:rsidRPr="00D91DA9">
        <w:rPr>
          <w:rFonts w:ascii="Times New Roman" w:hAnsi="Times New Roman" w:cs="Times New Roman"/>
          <w:sz w:val="24"/>
          <w:szCs w:val="24"/>
        </w:rPr>
        <w:t xml:space="preserve">Construction of motorcycle taxis waiting </w:t>
      </w:r>
      <w:r w:rsidR="00A91730" w:rsidRPr="00D91DA9">
        <w:rPr>
          <w:rFonts w:ascii="Times New Roman" w:hAnsi="Times New Roman" w:cs="Times New Roman"/>
          <w:sz w:val="24"/>
          <w:szCs w:val="24"/>
        </w:rPr>
        <w:t xml:space="preserve">bays </w:t>
      </w:r>
      <w:r w:rsidR="00A91730" w:rsidRPr="00D91DA9">
        <w:rPr>
          <w:rFonts w:ascii="Times New Roman" w:hAnsi="Times New Roman" w:cs="Times New Roman"/>
          <w:sz w:val="24"/>
          <w:szCs w:val="24"/>
        </w:rPr>
        <w:tab/>
      </w:r>
      <w:r w:rsidRPr="00D91DA9">
        <w:rPr>
          <w:rFonts w:ascii="Times New Roman" w:hAnsi="Times New Roman" w:cs="Times New Roman"/>
          <w:sz w:val="24"/>
          <w:szCs w:val="24"/>
        </w:rPr>
        <w:t xml:space="preserve">Department of Transport </w:t>
      </w:r>
    </w:p>
    <w:p w:rsidR="0073793E" w:rsidRPr="00D91DA9" w:rsidRDefault="0063549C" w:rsidP="006518BF">
      <w:pPr>
        <w:spacing w:after="131"/>
        <w:ind w:left="-5" w:right="4146"/>
        <w:rPr>
          <w:rFonts w:ascii="Times New Roman" w:hAnsi="Times New Roman" w:cs="Times New Roman"/>
          <w:sz w:val="24"/>
          <w:szCs w:val="24"/>
        </w:rPr>
      </w:pPr>
      <w:r w:rsidRPr="00D91DA9">
        <w:rPr>
          <w:rFonts w:ascii="Times New Roman" w:hAnsi="Times New Roman" w:cs="Times New Roman"/>
          <w:sz w:val="24"/>
          <w:szCs w:val="24"/>
        </w:rPr>
        <w:t xml:space="preserve">Formulate proper traffic management policies of </w:t>
      </w:r>
      <w:proofErr w:type="spellStart"/>
      <w:r w:rsidRPr="00D91DA9">
        <w:rPr>
          <w:rFonts w:ascii="Times New Roman" w:hAnsi="Times New Roman" w:cs="Times New Roman"/>
          <w:sz w:val="24"/>
          <w:szCs w:val="24"/>
        </w:rPr>
        <w:t>onstreet</w:t>
      </w:r>
      <w:proofErr w:type="spellEnd"/>
      <w:r w:rsidRPr="00D91DA9">
        <w:rPr>
          <w:rFonts w:ascii="Times New Roman" w:hAnsi="Times New Roman" w:cs="Times New Roman"/>
          <w:sz w:val="24"/>
          <w:szCs w:val="24"/>
        </w:rPr>
        <w:t xml:space="preserve"> parking, and </w:t>
      </w:r>
      <w:proofErr w:type="spellStart"/>
      <w:r w:rsidRPr="00D91DA9">
        <w:rPr>
          <w:rFonts w:ascii="Times New Roman" w:hAnsi="Times New Roman" w:cs="Times New Roman"/>
          <w:sz w:val="24"/>
          <w:szCs w:val="24"/>
        </w:rPr>
        <w:t>matatu</w:t>
      </w:r>
      <w:proofErr w:type="spellEnd"/>
      <w:r w:rsidRPr="00D91DA9">
        <w:rPr>
          <w:rFonts w:ascii="Times New Roman" w:hAnsi="Times New Roman" w:cs="Times New Roman"/>
          <w:sz w:val="24"/>
          <w:szCs w:val="24"/>
        </w:rPr>
        <w:t xml:space="preserve">/bus terminus </w:t>
      </w:r>
    </w:p>
    <w:p w:rsidR="0073793E" w:rsidRPr="00D91DA9" w:rsidRDefault="0073793E" w:rsidP="006518BF">
      <w:pPr>
        <w:rPr>
          <w:rFonts w:ascii="Times New Roman" w:hAnsi="Times New Roman" w:cs="Times New Roman"/>
          <w:sz w:val="24"/>
          <w:szCs w:val="24"/>
        </w:rPr>
        <w:sectPr w:rsidR="0073793E" w:rsidRPr="00D91DA9">
          <w:footerReference w:type="even" r:id="rId9"/>
          <w:footerReference w:type="default" r:id="rId10"/>
          <w:footerReference w:type="first" r:id="rId11"/>
          <w:pgSz w:w="11908" w:h="16836"/>
          <w:pgMar w:top="1482" w:right="1159" w:bottom="1458" w:left="1441" w:header="720" w:footer="714" w:gutter="0"/>
          <w:cols w:space="720"/>
        </w:sectPr>
      </w:pPr>
    </w:p>
    <w:p w:rsidR="0073793E" w:rsidRPr="00D91DA9" w:rsidRDefault="0063549C" w:rsidP="006518BF">
      <w:pPr>
        <w:spacing w:after="3" w:line="259" w:lineRule="auto"/>
        <w:ind w:left="-5" w:right="0"/>
        <w:rPr>
          <w:rFonts w:ascii="Times New Roman" w:hAnsi="Times New Roman" w:cs="Times New Roman"/>
          <w:sz w:val="24"/>
          <w:szCs w:val="24"/>
        </w:rPr>
      </w:pPr>
      <w:r w:rsidRPr="00D91DA9">
        <w:rPr>
          <w:rFonts w:ascii="Times New Roman" w:hAnsi="Times New Roman" w:cs="Times New Roman"/>
          <w:sz w:val="24"/>
          <w:szCs w:val="24"/>
        </w:rPr>
        <w:lastRenderedPageBreak/>
        <w:t xml:space="preserve">Department of Physical Planning and Transport </w:t>
      </w:r>
    </w:p>
    <w:p w:rsidR="0073793E" w:rsidRPr="00D91DA9" w:rsidRDefault="0073793E" w:rsidP="006518BF">
      <w:pPr>
        <w:rPr>
          <w:rFonts w:ascii="Times New Roman" w:hAnsi="Times New Roman" w:cs="Times New Roman"/>
          <w:sz w:val="24"/>
          <w:szCs w:val="24"/>
        </w:rPr>
        <w:sectPr w:rsidR="0073793E" w:rsidRPr="00D91DA9">
          <w:type w:val="continuous"/>
          <w:pgSz w:w="11908" w:h="16836"/>
          <w:pgMar w:top="1482" w:right="1824" w:bottom="1840" w:left="6358" w:header="720" w:footer="720" w:gutter="0"/>
          <w:cols w:space="720"/>
        </w:sectPr>
      </w:pPr>
    </w:p>
    <w:tbl>
      <w:tblPr>
        <w:tblStyle w:val="TableGrid"/>
        <w:tblW w:w="9278" w:type="dxa"/>
        <w:tblInd w:w="0" w:type="dxa"/>
        <w:tblLook w:val="04A0" w:firstRow="1" w:lastRow="0" w:firstColumn="1" w:lastColumn="0" w:noHBand="0" w:noVBand="1"/>
      </w:tblPr>
      <w:tblGrid>
        <w:gridCol w:w="4917"/>
        <w:gridCol w:w="4361"/>
      </w:tblGrid>
      <w:tr w:rsidR="0073793E" w:rsidRPr="00D91DA9">
        <w:trPr>
          <w:trHeight w:val="664"/>
        </w:trPr>
        <w:tc>
          <w:tcPr>
            <w:tcW w:w="4918" w:type="dxa"/>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lastRenderedPageBreak/>
              <w:t xml:space="preserve">Relocation of hawkers from the road reserves and foot paths to designated market areas </w:t>
            </w:r>
          </w:p>
        </w:tc>
        <w:tc>
          <w:tcPr>
            <w:tcW w:w="4361" w:type="dxa"/>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County administration and Department of enforcement and development control </w:t>
            </w:r>
          </w:p>
        </w:tc>
      </w:tr>
      <w:tr w:rsidR="0073793E" w:rsidRPr="00D91DA9">
        <w:trPr>
          <w:trHeight w:val="658"/>
        </w:trPr>
        <w:tc>
          <w:tcPr>
            <w:tcW w:w="4918" w:type="dxa"/>
            <w:tcBorders>
              <w:top w:val="nil"/>
              <w:left w:val="nil"/>
              <w:bottom w:val="nil"/>
              <w:right w:val="nil"/>
            </w:tcBorders>
            <w:vAlign w:val="center"/>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Create pedestrian pathways of minimum 2m wide. </w:t>
            </w:r>
          </w:p>
        </w:tc>
        <w:tc>
          <w:tcPr>
            <w:tcW w:w="4361" w:type="dxa"/>
            <w:tcBorders>
              <w:top w:val="nil"/>
              <w:left w:val="nil"/>
              <w:bottom w:val="nil"/>
              <w:right w:val="nil"/>
            </w:tcBorders>
            <w:vAlign w:val="center"/>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Planning, Roads and Transport </w:t>
            </w:r>
          </w:p>
        </w:tc>
      </w:tr>
      <w:tr w:rsidR="0073793E" w:rsidRPr="00D91DA9">
        <w:trPr>
          <w:trHeight w:val="740"/>
        </w:trPr>
        <w:tc>
          <w:tcPr>
            <w:tcW w:w="4918" w:type="dxa"/>
            <w:tcBorders>
              <w:top w:val="nil"/>
              <w:left w:val="nil"/>
              <w:bottom w:val="nil"/>
              <w:right w:val="nil"/>
            </w:tcBorders>
            <w:vAlign w:val="bottom"/>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Landscaping and planting of trees at the pedestrian pathways. </w:t>
            </w:r>
          </w:p>
        </w:tc>
        <w:tc>
          <w:tcPr>
            <w:tcW w:w="4361" w:type="dxa"/>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Roads and Environment </w:t>
            </w:r>
          </w:p>
        </w:tc>
      </w:tr>
      <w:tr w:rsidR="0073793E" w:rsidRPr="00D91DA9">
        <w:trPr>
          <w:trHeight w:val="692"/>
        </w:trPr>
        <w:tc>
          <w:tcPr>
            <w:tcW w:w="4918" w:type="dxa"/>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Put road signage and traffic lights </w:t>
            </w:r>
          </w:p>
        </w:tc>
        <w:tc>
          <w:tcPr>
            <w:tcW w:w="4361" w:type="dxa"/>
            <w:tcBorders>
              <w:top w:val="nil"/>
              <w:left w:val="nil"/>
              <w:bottom w:val="nil"/>
              <w:right w:val="nil"/>
            </w:tcBorders>
          </w:tcPr>
          <w:p w:rsidR="0073793E" w:rsidRPr="00D91DA9" w:rsidRDefault="0063549C" w:rsidP="006518BF">
            <w:pPr>
              <w:spacing w:after="75"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Transport, NTSA </w:t>
            </w:r>
          </w:p>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  </w:t>
            </w:r>
          </w:p>
        </w:tc>
      </w:tr>
      <w:tr w:rsidR="0073793E" w:rsidRPr="00D91DA9">
        <w:trPr>
          <w:trHeight w:val="476"/>
        </w:trPr>
        <w:tc>
          <w:tcPr>
            <w:tcW w:w="4918" w:type="dxa"/>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Establish a street addressing system </w:t>
            </w:r>
          </w:p>
        </w:tc>
        <w:tc>
          <w:tcPr>
            <w:tcW w:w="4361" w:type="dxa"/>
            <w:tcBorders>
              <w:top w:val="nil"/>
              <w:left w:val="nil"/>
              <w:bottom w:val="nil"/>
              <w:right w:val="nil"/>
            </w:tcBorders>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Physical Planning  </w:t>
            </w:r>
          </w:p>
        </w:tc>
      </w:tr>
      <w:tr w:rsidR="0073793E" w:rsidRPr="00D91DA9">
        <w:trPr>
          <w:trHeight w:val="629"/>
        </w:trPr>
        <w:tc>
          <w:tcPr>
            <w:tcW w:w="4918" w:type="dxa"/>
            <w:tcBorders>
              <w:top w:val="nil"/>
              <w:left w:val="nil"/>
              <w:bottom w:val="nil"/>
              <w:right w:val="nil"/>
            </w:tcBorders>
            <w:vAlign w:val="bottom"/>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Conduct  traffic impact assessments as part of development approval </w:t>
            </w:r>
          </w:p>
        </w:tc>
        <w:tc>
          <w:tcPr>
            <w:tcW w:w="4361" w:type="dxa"/>
            <w:tcBorders>
              <w:top w:val="nil"/>
              <w:left w:val="nil"/>
              <w:bottom w:val="nil"/>
              <w:right w:val="nil"/>
            </w:tcBorders>
            <w:vAlign w:val="center"/>
          </w:tcPr>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Department of Physical Planning and Transport </w:t>
            </w:r>
          </w:p>
        </w:tc>
      </w:tr>
    </w:tbl>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 </w:t>
      </w:r>
    </w:p>
    <w:tbl>
      <w:tblPr>
        <w:tblStyle w:val="TableGrid"/>
        <w:tblW w:w="9527" w:type="dxa"/>
        <w:tblInd w:w="-108" w:type="dxa"/>
        <w:tblCellMar>
          <w:top w:w="44" w:type="dxa"/>
          <w:bottom w:w="76" w:type="dxa"/>
          <w:right w:w="171" w:type="dxa"/>
        </w:tblCellMar>
        <w:tblLook w:val="04A0" w:firstRow="1" w:lastRow="0" w:firstColumn="1" w:lastColumn="0" w:noHBand="0" w:noVBand="1"/>
      </w:tblPr>
      <w:tblGrid>
        <w:gridCol w:w="5025"/>
        <w:gridCol w:w="4502"/>
      </w:tblGrid>
      <w:tr w:rsidR="0073793E" w:rsidRPr="006518BF">
        <w:trPr>
          <w:trHeight w:val="627"/>
        </w:trPr>
        <w:tc>
          <w:tcPr>
            <w:tcW w:w="5026" w:type="dxa"/>
            <w:tcBorders>
              <w:top w:val="single" w:sz="3" w:space="0" w:color="000000"/>
              <w:left w:val="nil"/>
              <w:bottom w:val="single" w:sz="3" w:space="0" w:color="000000"/>
              <w:right w:val="nil"/>
            </w:tcBorders>
          </w:tcPr>
          <w:p w:rsidR="0073793E" w:rsidRPr="006518BF" w:rsidRDefault="0063549C" w:rsidP="006518BF">
            <w:pPr>
              <w:spacing w:after="55"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INFORMAL SETTLEMENTS  </w:t>
            </w:r>
          </w:p>
          <w:p w:rsidR="0073793E" w:rsidRPr="006518BF" w:rsidRDefault="0063549C" w:rsidP="006518BF">
            <w:pPr>
              <w:spacing w:after="0"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PLANS </w:t>
            </w:r>
          </w:p>
        </w:tc>
        <w:tc>
          <w:tcPr>
            <w:tcW w:w="4502" w:type="dxa"/>
            <w:tcBorders>
              <w:top w:val="single" w:sz="3" w:space="0" w:color="000000"/>
              <w:left w:val="nil"/>
              <w:bottom w:val="single" w:sz="3" w:space="0" w:color="000000"/>
              <w:right w:val="nil"/>
            </w:tcBorders>
            <w:vAlign w:val="bottom"/>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INSTITUTION RESPONSIBLE </w:t>
            </w:r>
          </w:p>
        </w:tc>
      </w:tr>
      <w:tr w:rsidR="0073793E" w:rsidRPr="006518BF">
        <w:trPr>
          <w:trHeight w:val="902"/>
        </w:trPr>
        <w:tc>
          <w:tcPr>
            <w:tcW w:w="5026" w:type="dxa"/>
            <w:tcBorders>
              <w:top w:val="single" w:sz="3" w:space="0" w:color="000000"/>
              <w:left w:val="nil"/>
              <w:bottom w:val="nil"/>
              <w:right w:val="nil"/>
            </w:tcBorders>
          </w:tcPr>
          <w:p w:rsidR="0073793E" w:rsidRPr="00D91DA9" w:rsidRDefault="0063549C" w:rsidP="006518BF">
            <w:pPr>
              <w:spacing w:after="87"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Provision </w:t>
            </w:r>
            <w:r w:rsidR="00D91DA9" w:rsidRPr="00D91DA9">
              <w:rPr>
                <w:rFonts w:ascii="Times New Roman" w:hAnsi="Times New Roman" w:cs="Times New Roman"/>
                <w:sz w:val="24"/>
                <w:szCs w:val="24"/>
              </w:rPr>
              <w:t>of public</w:t>
            </w:r>
            <w:r w:rsidRPr="00D91DA9">
              <w:rPr>
                <w:rFonts w:ascii="Times New Roman" w:hAnsi="Times New Roman" w:cs="Times New Roman"/>
                <w:sz w:val="24"/>
                <w:szCs w:val="24"/>
              </w:rPr>
              <w:t xml:space="preserve"> toilets and washrooms </w:t>
            </w:r>
          </w:p>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Enrolment of school </w:t>
            </w:r>
            <w:proofErr w:type="spellStart"/>
            <w:r w:rsidRPr="00D91DA9">
              <w:rPr>
                <w:rFonts w:ascii="Times New Roman" w:hAnsi="Times New Roman" w:cs="Times New Roman"/>
                <w:sz w:val="24"/>
                <w:szCs w:val="24"/>
              </w:rPr>
              <w:t>programmes</w:t>
            </w:r>
            <w:proofErr w:type="spellEnd"/>
            <w:r w:rsidRPr="00D91DA9">
              <w:rPr>
                <w:rFonts w:ascii="Times New Roman" w:hAnsi="Times New Roman" w:cs="Times New Roman"/>
                <w:sz w:val="24"/>
                <w:szCs w:val="24"/>
              </w:rPr>
              <w:t xml:space="preserve"> i.e. feeding and sanitary provision  </w:t>
            </w:r>
          </w:p>
        </w:tc>
        <w:tc>
          <w:tcPr>
            <w:tcW w:w="4502" w:type="dxa"/>
            <w:tcBorders>
              <w:top w:val="single" w:sz="3" w:space="0" w:color="000000"/>
              <w:left w:val="nil"/>
              <w:bottom w:val="nil"/>
              <w:right w:val="nil"/>
            </w:tcBorders>
          </w:tcPr>
          <w:p w:rsidR="0073793E" w:rsidRPr="006518BF" w:rsidRDefault="0063549C" w:rsidP="006518BF">
            <w:pPr>
              <w:spacing w:after="87"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  </w:t>
            </w:r>
          </w:p>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Education </w:t>
            </w:r>
          </w:p>
        </w:tc>
      </w:tr>
      <w:tr w:rsidR="0073793E" w:rsidRPr="006518BF">
        <w:trPr>
          <w:trHeight w:val="496"/>
        </w:trPr>
        <w:tc>
          <w:tcPr>
            <w:tcW w:w="5026" w:type="dxa"/>
            <w:tcBorders>
              <w:top w:val="nil"/>
              <w:left w:val="nil"/>
              <w:bottom w:val="nil"/>
              <w:right w:val="nil"/>
            </w:tcBorders>
            <w:vAlign w:val="center"/>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Provision  of primary schools in the informal settlement </w:t>
            </w:r>
          </w:p>
        </w:tc>
        <w:tc>
          <w:tcPr>
            <w:tcW w:w="4502" w:type="dxa"/>
            <w:tcBorders>
              <w:top w:val="nil"/>
              <w:left w:val="nil"/>
              <w:bottom w:val="nil"/>
              <w:right w:val="nil"/>
            </w:tcBorders>
            <w:vAlign w:val="center"/>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Education </w:t>
            </w:r>
          </w:p>
        </w:tc>
      </w:tr>
      <w:tr w:rsidR="0073793E" w:rsidRPr="006518BF">
        <w:trPr>
          <w:trHeight w:val="724"/>
        </w:trPr>
        <w:tc>
          <w:tcPr>
            <w:tcW w:w="5026" w:type="dxa"/>
            <w:tcBorders>
              <w:top w:val="nil"/>
              <w:left w:val="nil"/>
              <w:bottom w:val="nil"/>
              <w:right w:val="nil"/>
            </w:tcBorders>
            <w:vAlign w:val="center"/>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Preparation of local Physical development plan for informal settlement </w:t>
            </w:r>
          </w:p>
        </w:tc>
        <w:tc>
          <w:tcPr>
            <w:tcW w:w="4502" w:type="dxa"/>
            <w:tcBorders>
              <w:top w:val="nil"/>
              <w:left w:val="nil"/>
              <w:bottom w:val="nil"/>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Physical Planning </w:t>
            </w:r>
          </w:p>
        </w:tc>
      </w:tr>
      <w:tr w:rsidR="0073793E" w:rsidRPr="006518BF">
        <w:trPr>
          <w:trHeight w:val="372"/>
        </w:trPr>
        <w:tc>
          <w:tcPr>
            <w:tcW w:w="5026" w:type="dxa"/>
            <w:tcBorders>
              <w:top w:val="nil"/>
              <w:left w:val="nil"/>
              <w:bottom w:val="nil"/>
              <w:right w:val="nil"/>
            </w:tcBorders>
          </w:tcPr>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lastRenderedPageBreak/>
              <w:t xml:space="preserve">Development of </w:t>
            </w:r>
            <w:proofErr w:type="spellStart"/>
            <w:r w:rsidRPr="00D91DA9">
              <w:rPr>
                <w:rFonts w:ascii="Times New Roman" w:hAnsi="Times New Roman" w:cs="Times New Roman"/>
                <w:sz w:val="24"/>
                <w:szCs w:val="24"/>
              </w:rPr>
              <w:t>jua</w:t>
            </w:r>
            <w:proofErr w:type="spellEnd"/>
            <w:r w:rsidRPr="00D91DA9">
              <w:rPr>
                <w:rFonts w:ascii="Times New Roman" w:hAnsi="Times New Roman" w:cs="Times New Roman"/>
                <w:sz w:val="24"/>
                <w:szCs w:val="24"/>
              </w:rPr>
              <w:t xml:space="preserve"> kali and crafts </w:t>
            </w:r>
            <w:proofErr w:type="spellStart"/>
            <w:r w:rsidRPr="00D91DA9">
              <w:rPr>
                <w:rFonts w:ascii="Times New Roman" w:hAnsi="Times New Roman" w:cs="Times New Roman"/>
                <w:sz w:val="24"/>
                <w:szCs w:val="24"/>
              </w:rPr>
              <w:t>centres</w:t>
            </w:r>
            <w:proofErr w:type="spellEnd"/>
            <w:r w:rsidRPr="00D91DA9">
              <w:rPr>
                <w:rFonts w:ascii="Times New Roman" w:hAnsi="Times New Roman" w:cs="Times New Roman"/>
                <w:sz w:val="24"/>
                <w:szCs w:val="24"/>
              </w:rPr>
              <w:t xml:space="preserve"> </w:t>
            </w:r>
          </w:p>
        </w:tc>
        <w:tc>
          <w:tcPr>
            <w:tcW w:w="4502" w:type="dxa"/>
            <w:tcBorders>
              <w:top w:val="nil"/>
              <w:left w:val="nil"/>
              <w:bottom w:val="nil"/>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Physical Planning and Trade </w:t>
            </w:r>
          </w:p>
        </w:tc>
      </w:tr>
      <w:tr w:rsidR="0073793E" w:rsidRPr="006518BF">
        <w:trPr>
          <w:trHeight w:val="1223"/>
        </w:trPr>
        <w:tc>
          <w:tcPr>
            <w:tcW w:w="5026" w:type="dxa"/>
            <w:tcBorders>
              <w:top w:val="nil"/>
              <w:left w:val="nil"/>
              <w:bottom w:val="single" w:sz="3" w:space="0" w:color="000000"/>
              <w:right w:val="nil"/>
            </w:tcBorders>
          </w:tcPr>
          <w:p w:rsidR="0073793E" w:rsidRPr="00D91DA9" w:rsidRDefault="0063549C" w:rsidP="006518BF">
            <w:pPr>
              <w:spacing w:after="324" w:line="237"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Provision of street lighting 30m apart and high mast lights </w:t>
            </w:r>
          </w:p>
          <w:p w:rsidR="0073793E" w:rsidRPr="00D91DA9" w:rsidRDefault="0063549C" w:rsidP="006518BF">
            <w:pPr>
              <w:spacing w:after="0"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 </w:t>
            </w:r>
          </w:p>
        </w:tc>
        <w:tc>
          <w:tcPr>
            <w:tcW w:w="4502" w:type="dxa"/>
            <w:tcBorders>
              <w:top w:val="nil"/>
              <w:left w:val="nil"/>
              <w:bottom w:val="single" w:sz="3" w:space="0" w:color="000000"/>
              <w:right w:val="nil"/>
            </w:tcBorders>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sz w:val="24"/>
                <w:szCs w:val="24"/>
              </w:rPr>
              <w:t xml:space="preserve">Department of Urban Development and Public Works </w:t>
            </w:r>
          </w:p>
        </w:tc>
      </w:tr>
      <w:tr w:rsidR="0073793E" w:rsidRPr="006518BF">
        <w:trPr>
          <w:trHeight w:val="625"/>
        </w:trPr>
        <w:tc>
          <w:tcPr>
            <w:tcW w:w="5026" w:type="dxa"/>
            <w:tcBorders>
              <w:top w:val="single" w:sz="3" w:space="0" w:color="000000"/>
              <w:left w:val="nil"/>
              <w:bottom w:val="single" w:sz="3" w:space="0" w:color="000000"/>
              <w:right w:val="nil"/>
            </w:tcBorders>
          </w:tcPr>
          <w:p w:rsidR="0073793E" w:rsidRPr="006518BF" w:rsidRDefault="0063549C" w:rsidP="006518BF">
            <w:pPr>
              <w:spacing w:after="55"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DISASTER MANAGEMENT  </w:t>
            </w:r>
          </w:p>
          <w:p w:rsidR="0073793E" w:rsidRPr="006518BF" w:rsidRDefault="0063549C" w:rsidP="006518BF">
            <w:pPr>
              <w:spacing w:after="0"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PLANS </w:t>
            </w:r>
          </w:p>
        </w:tc>
        <w:tc>
          <w:tcPr>
            <w:tcW w:w="4502" w:type="dxa"/>
            <w:tcBorders>
              <w:top w:val="single" w:sz="3" w:space="0" w:color="000000"/>
              <w:left w:val="nil"/>
              <w:bottom w:val="single" w:sz="3" w:space="0" w:color="000000"/>
              <w:right w:val="nil"/>
            </w:tcBorders>
            <w:vAlign w:val="bottom"/>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INSTITUTION RESPONSIBLE </w:t>
            </w:r>
          </w:p>
        </w:tc>
      </w:tr>
      <w:tr w:rsidR="0073793E" w:rsidRPr="006518BF">
        <w:trPr>
          <w:trHeight w:val="1895"/>
        </w:trPr>
        <w:tc>
          <w:tcPr>
            <w:tcW w:w="5026" w:type="dxa"/>
            <w:tcBorders>
              <w:top w:val="single" w:sz="3" w:space="0" w:color="000000"/>
              <w:left w:val="nil"/>
              <w:bottom w:val="single" w:sz="3" w:space="0" w:color="000000"/>
              <w:right w:val="nil"/>
            </w:tcBorders>
          </w:tcPr>
          <w:p w:rsidR="0073793E" w:rsidRPr="00D91DA9" w:rsidRDefault="00A91730" w:rsidP="006518BF">
            <w:pPr>
              <w:spacing w:after="91"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Mapping disaster</w:t>
            </w:r>
            <w:r w:rsidR="0063549C" w:rsidRPr="00D91DA9">
              <w:rPr>
                <w:rFonts w:ascii="Times New Roman" w:hAnsi="Times New Roman" w:cs="Times New Roman"/>
                <w:sz w:val="24"/>
                <w:szCs w:val="24"/>
              </w:rPr>
              <w:t xml:space="preserve"> prone areas </w:t>
            </w:r>
          </w:p>
          <w:p w:rsidR="0073793E" w:rsidRPr="00D91DA9" w:rsidRDefault="0063549C" w:rsidP="006518BF">
            <w:pPr>
              <w:spacing w:after="91"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Training of quarry workers on accident prevention </w:t>
            </w:r>
          </w:p>
          <w:p w:rsidR="0073793E" w:rsidRPr="00D91DA9" w:rsidRDefault="0063549C" w:rsidP="006518BF">
            <w:pPr>
              <w:spacing w:after="91"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Formulate safe quarrying procedures </w:t>
            </w:r>
          </w:p>
          <w:p w:rsidR="0073793E" w:rsidRPr="00D91DA9" w:rsidRDefault="0063549C" w:rsidP="006518BF">
            <w:pPr>
              <w:spacing w:after="224" w:line="259" w:lineRule="auto"/>
              <w:ind w:left="108" w:right="0" w:firstLine="0"/>
              <w:rPr>
                <w:rFonts w:ascii="Times New Roman" w:hAnsi="Times New Roman" w:cs="Times New Roman"/>
                <w:sz w:val="24"/>
                <w:szCs w:val="24"/>
              </w:rPr>
            </w:pPr>
            <w:r w:rsidRPr="00D91DA9">
              <w:rPr>
                <w:rFonts w:ascii="Times New Roman" w:hAnsi="Times New Roman" w:cs="Times New Roman"/>
                <w:sz w:val="24"/>
                <w:szCs w:val="24"/>
              </w:rPr>
              <w:t xml:space="preserve">Construction of storm Water drains </w:t>
            </w:r>
          </w:p>
          <w:p w:rsidR="0073793E" w:rsidRPr="006518BF" w:rsidRDefault="0063549C" w:rsidP="006518BF">
            <w:pPr>
              <w:spacing w:after="0" w:line="259" w:lineRule="auto"/>
              <w:ind w:left="108" w:right="0" w:firstLine="0"/>
              <w:rPr>
                <w:rFonts w:ascii="Times New Roman" w:hAnsi="Times New Roman" w:cs="Times New Roman"/>
                <w:sz w:val="24"/>
                <w:szCs w:val="24"/>
              </w:rPr>
            </w:pPr>
            <w:r w:rsidRPr="006518BF">
              <w:rPr>
                <w:rFonts w:ascii="Times New Roman" w:hAnsi="Times New Roman" w:cs="Times New Roman"/>
                <w:sz w:val="24"/>
                <w:szCs w:val="24"/>
              </w:rPr>
              <w:t xml:space="preserve"> </w:t>
            </w:r>
          </w:p>
        </w:tc>
        <w:tc>
          <w:tcPr>
            <w:tcW w:w="4502" w:type="dxa"/>
            <w:tcBorders>
              <w:top w:val="single" w:sz="3" w:space="0" w:color="000000"/>
              <w:left w:val="nil"/>
              <w:bottom w:val="single" w:sz="3" w:space="0" w:color="000000"/>
              <w:right w:val="nil"/>
            </w:tcBorders>
          </w:tcPr>
          <w:p w:rsidR="0073793E" w:rsidRPr="006518BF" w:rsidRDefault="0063549C" w:rsidP="006518BF">
            <w:pPr>
              <w:spacing w:after="0" w:line="259" w:lineRule="auto"/>
              <w:ind w:left="0" w:right="4229" w:firstLine="0"/>
              <w:rPr>
                <w:rFonts w:ascii="Times New Roman" w:hAnsi="Times New Roman" w:cs="Times New Roman"/>
                <w:sz w:val="24"/>
                <w:szCs w:val="24"/>
              </w:rPr>
            </w:pPr>
            <w:r w:rsidRPr="006518BF">
              <w:rPr>
                <w:rFonts w:ascii="Times New Roman" w:hAnsi="Times New Roman" w:cs="Times New Roman"/>
                <w:b/>
                <w:sz w:val="24"/>
                <w:szCs w:val="24"/>
              </w:rPr>
              <w:t xml:space="preserve">        </w:t>
            </w:r>
          </w:p>
        </w:tc>
      </w:tr>
      <w:tr w:rsidR="0073793E" w:rsidRPr="006518BF">
        <w:trPr>
          <w:trHeight w:val="627"/>
        </w:trPr>
        <w:tc>
          <w:tcPr>
            <w:tcW w:w="5026" w:type="dxa"/>
            <w:tcBorders>
              <w:top w:val="single" w:sz="3" w:space="0" w:color="000000"/>
              <w:left w:val="nil"/>
              <w:bottom w:val="single" w:sz="3" w:space="0" w:color="000000"/>
              <w:right w:val="nil"/>
            </w:tcBorders>
          </w:tcPr>
          <w:p w:rsidR="0073793E" w:rsidRPr="006518BF" w:rsidRDefault="0063549C" w:rsidP="006518BF">
            <w:pPr>
              <w:spacing w:after="55"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TOURISM </w:t>
            </w:r>
          </w:p>
          <w:p w:rsidR="0073793E" w:rsidRPr="006518BF" w:rsidRDefault="0063549C" w:rsidP="006518BF">
            <w:pPr>
              <w:spacing w:after="0" w:line="259" w:lineRule="auto"/>
              <w:ind w:left="108" w:right="0" w:firstLine="0"/>
              <w:rPr>
                <w:rFonts w:ascii="Times New Roman" w:hAnsi="Times New Roman" w:cs="Times New Roman"/>
                <w:sz w:val="24"/>
                <w:szCs w:val="24"/>
              </w:rPr>
            </w:pPr>
            <w:r w:rsidRPr="006518BF">
              <w:rPr>
                <w:rFonts w:ascii="Times New Roman" w:hAnsi="Times New Roman" w:cs="Times New Roman"/>
                <w:b/>
                <w:sz w:val="24"/>
                <w:szCs w:val="24"/>
              </w:rPr>
              <w:t xml:space="preserve">PLANS </w:t>
            </w:r>
          </w:p>
        </w:tc>
        <w:tc>
          <w:tcPr>
            <w:tcW w:w="4502" w:type="dxa"/>
            <w:tcBorders>
              <w:top w:val="single" w:sz="3" w:space="0" w:color="000000"/>
              <w:left w:val="nil"/>
              <w:bottom w:val="single" w:sz="3" w:space="0" w:color="000000"/>
              <w:right w:val="nil"/>
            </w:tcBorders>
            <w:vAlign w:val="bottom"/>
          </w:tcPr>
          <w:p w:rsidR="0073793E" w:rsidRPr="006518BF" w:rsidRDefault="0063549C" w:rsidP="006518BF">
            <w:pPr>
              <w:spacing w:after="0" w:line="259" w:lineRule="auto"/>
              <w:ind w:left="0" w:right="0" w:firstLine="0"/>
              <w:rPr>
                <w:rFonts w:ascii="Times New Roman" w:hAnsi="Times New Roman" w:cs="Times New Roman"/>
                <w:sz w:val="24"/>
                <w:szCs w:val="24"/>
              </w:rPr>
            </w:pPr>
            <w:r w:rsidRPr="006518BF">
              <w:rPr>
                <w:rFonts w:ascii="Times New Roman" w:hAnsi="Times New Roman" w:cs="Times New Roman"/>
                <w:b/>
                <w:sz w:val="24"/>
                <w:szCs w:val="24"/>
              </w:rPr>
              <w:t xml:space="preserve">INSTITUTION RESPONSIBLE </w:t>
            </w:r>
          </w:p>
        </w:tc>
      </w:tr>
    </w:tbl>
    <w:p w:rsidR="0073793E" w:rsidRPr="00D91DA9" w:rsidRDefault="0063549C" w:rsidP="006518BF">
      <w:pPr>
        <w:tabs>
          <w:tab w:val="right" w:pos="7746"/>
        </w:tabs>
        <w:spacing w:after="123" w:line="259" w:lineRule="auto"/>
        <w:ind w:left="-15" w:right="0" w:firstLine="0"/>
        <w:rPr>
          <w:rFonts w:ascii="Times New Roman" w:hAnsi="Times New Roman" w:cs="Times New Roman"/>
          <w:sz w:val="24"/>
          <w:szCs w:val="24"/>
        </w:rPr>
      </w:pPr>
      <w:r w:rsidRPr="00D91DA9">
        <w:rPr>
          <w:rFonts w:ascii="Times New Roman" w:hAnsi="Times New Roman" w:cs="Times New Roman"/>
          <w:sz w:val="24"/>
          <w:szCs w:val="24"/>
        </w:rPr>
        <w:t xml:space="preserve">Creation of </w:t>
      </w:r>
      <w:proofErr w:type="spellStart"/>
      <w:r w:rsidRPr="00D91DA9">
        <w:rPr>
          <w:rFonts w:ascii="Times New Roman" w:hAnsi="Times New Roman" w:cs="Times New Roman"/>
          <w:sz w:val="24"/>
          <w:szCs w:val="24"/>
        </w:rPr>
        <w:t>Maasai</w:t>
      </w:r>
      <w:proofErr w:type="spellEnd"/>
      <w:r w:rsidRPr="00D91DA9">
        <w:rPr>
          <w:rFonts w:ascii="Times New Roman" w:hAnsi="Times New Roman" w:cs="Times New Roman"/>
          <w:sz w:val="24"/>
          <w:szCs w:val="24"/>
        </w:rPr>
        <w:t xml:space="preserve"> </w:t>
      </w:r>
      <w:r w:rsidR="00A91730" w:rsidRPr="00D91DA9">
        <w:rPr>
          <w:rFonts w:ascii="Times New Roman" w:hAnsi="Times New Roman" w:cs="Times New Roman"/>
          <w:sz w:val="24"/>
          <w:szCs w:val="24"/>
        </w:rPr>
        <w:t xml:space="preserve">Market </w:t>
      </w:r>
      <w:r w:rsidR="00A91730" w:rsidRPr="00D91DA9">
        <w:rPr>
          <w:rFonts w:ascii="Times New Roman" w:hAnsi="Times New Roman" w:cs="Times New Roman"/>
          <w:sz w:val="24"/>
          <w:szCs w:val="24"/>
        </w:rPr>
        <w:tab/>
      </w:r>
      <w:r w:rsidRPr="00D91DA9">
        <w:rPr>
          <w:rFonts w:ascii="Times New Roman" w:hAnsi="Times New Roman" w:cs="Times New Roman"/>
          <w:sz w:val="24"/>
          <w:szCs w:val="24"/>
        </w:rPr>
        <w:t xml:space="preserve">Department of Culture and Heritage </w:t>
      </w:r>
    </w:p>
    <w:p w:rsidR="0073793E" w:rsidRPr="00D91DA9" w:rsidRDefault="0063549C" w:rsidP="006518BF">
      <w:pPr>
        <w:spacing w:after="131"/>
        <w:ind w:left="-5" w:right="0"/>
        <w:rPr>
          <w:rFonts w:ascii="Times New Roman" w:hAnsi="Times New Roman" w:cs="Times New Roman"/>
          <w:sz w:val="24"/>
          <w:szCs w:val="24"/>
        </w:rPr>
      </w:pPr>
      <w:r w:rsidRPr="00D91DA9">
        <w:rPr>
          <w:rFonts w:ascii="Times New Roman" w:hAnsi="Times New Roman" w:cs="Times New Roman"/>
          <w:sz w:val="24"/>
          <w:szCs w:val="24"/>
        </w:rPr>
        <w:t xml:space="preserve">Protection of identified Heritage sites in the Planning </w:t>
      </w:r>
      <w:r w:rsidRPr="00D91DA9">
        <w:rPr>
          <w:rFonts w:ascii="Times New Roman" w:hAnsi="Times New Roman" w:cs="Times New Roman"/>
          <w:sz w:val="24"/>
          <w:szCs w:val="24"/>
        </w:rPr>
        <w:tab/>
        <w:t xml:space="preserve">Department of Culture and Heritage area </w:t>
      </w:r>
    </w:p>
    <w:p w:rsidR="0073793E" w:rsidRPr="00D91DA9" w:rsidRDefault="0063549C" w:rsidP="006518BF">
      <w:pPr>
        <w:tabs>
          <w:tab w:val="center" w:pos="5854"/>
        </w:tabs>
        <w:spacing w:after="131"/>
        <w:ind w:left="-15" w:right="0" w:firstLine="0"/>
        <w:rPr>
          <w:rFonts w:ascii="Times New Roman" w:hAnsi="Times New Roman" w:cs="Times New Roman"/>
          <w:sz w:val="24"/>
          <w:szCs w:val="24"/>
        </w:rPr>
      </w:pPr>
      <w:r w:rsidRPr="00D91DA9">
        <w:rPr>
          <w:rFonts w:ascii="Times New Roman" w:hAnsi="Times New Roman" w:cs="Times New Roman"/>
          <w:sz w:val="24"/>
          <w:szCs w:val="24"/>
        </w:rPr>
        <w:t xml:space="preserve">Creation of nature trails at </w:t>
      </w:r>
      <w:proofErr w:type="spellStart"/>
      <w:r w:rsidRPr="00D91DA9">
        <w:rPr>
          <w:rFonts w:ascii="Times New Roman" w:hAnsi="Times New Roman" w:cs="Times New Roman"/>
          <w:sz w:val="24"/>
          <w:szCs w:val="24"/>
        </w:rPr>
        <w:t>Oloolua</w:t>
      </w:r>
      <w:proofErr w:type="spellEnd"/>
      <w:r w:rsidRPr="00D91DA9">
        <w:rPr>
          <w:rFonts w:ascii="Times New Roman" w:hAnsi="Times New Roman" w:cs="Times New Roman"/>
          <w:sz w:val="24"/>
          <w:szCs w:val="24"/>
        </w:rPr>
        <w:t xml:space="preserve"> forest </w:t>
      </w:r>
      <w:r w:rsidRPr="00D91DA9">
        <w:rPr>
          <w:rFonts w:ascii="Times New Roman" w:hAnsi="Times New Roman" w:cs="Times New Roman"/>
          <w:sz w:val="24"/>
          <w:szCs w:val="24"/>
        </w:rPr>
        <w:tab/>
        <w:t xml:space="preserve">Department of Tourism </w:t>
      </w:r>
    </w:p>
    <w:p w:rsidR="0073793E" w:rsidRPr="00D91DA9" w:rsidRDefault="0063549C" w:rsidP="006518BF">
      <w:pPr>
        <w:tabs>
          <w:tab w:val="center" w:pos="5855"/>
        </w:tabs>
        <w:spacing w:after="131"/>
        <w:ind w:left="-15" w:right="0" w:firstLine="0"/>
        <w:rPr>
          <w:rFonts w:ascii="Times New Roman" w:hAnsi="Times New Roman" w:cs="Times New Roman"/>
          <w:sz w:val="24"/>
          <w:szCs w:val="24"/>
        </w:rPr>
      </w:pPr>
      <w:r w:rsidRPr="00D91DA9">
        <w:rPr>
          <w:rFonts w:ascii="Times New Roman" w:hAnsi="Times New Roman" w:cs="Times New Roman"/>
          <w:sz w:val="24"/>
          <w:szCs w:val="24"/>
        </w:rPr>
        <w:t xml:space="preserve">Creation of zip lines at </w:t>
      </w:r>
      <w:proofErr w:type="spellStart"/>
      <w:r w:rsidRPr="00D91DA9">
        <w:rPr>
          <w:rFonts w:ascii="Times New Roman" w:hAnsi="Times New Roman" w:cs="Times New Roman"/>
          <w:sz w:val="24"/>
          <w:szCs w:val="24"/>
        </w:rPr>
        <w:t>Ngong</w:t>
      </w:r>
      <w:proofErr w:type="spellEnd"/>
      <w:r w:rsidRPr="00D91DA9">
        <w:rPr>
          <w:rFonts w:ascii="Times New Roman" w:hAnsi="Times New Roman" w:cs="Times New Roman"/>
          <w:sz w:val="24"/>
          <w:szCs w:val="24"/>
        </w:rPr>
        <w:t xml:space="preserve"> Hills </w:t>
      </w:r>
      <w:r w:rsidRPr="00D91DA9">
        <w:rPr>
          <w:rFonts w:ascii="Times New Roman" w:hAnsi="Times New Roman" w:cs="Times New Roman"/>
          <w:sz w:val="24"/>
          <w:szCs w:val="24"/>
        </w:rPr>
        <w:tab/>
        <w:t xml:space="preserve">Department of Tourism </w:t>
      </w:r>
    </w:p>
    <w:p w:rsidR="0073793E" w:rsidRPr="00D91DA9" w:rsidRDefault="0063549C" w:rsidP="006518BF">
      <w:pPr>
        <w:tabs>
          <w:tab w:val="center" w:pos="5854"/>
        </w:tabs>
        <w:spacing w:after="131"/>
        <w:ind w:left="-15" w:right="0" w:firstLine="0"/>
        <w:rPr>
          <w:rFonts w:ascii="Times New Roman" w:hAnsi="Times New Roman" w:cs="Times New Roman"/>
          <w:sz w:val="24"/>
          <w:szCs w:val="24"/>
        </w:rPr>
      </w:pPr>
      <w:r w:rsidRPr="00D91DA9">
        <w:rPr>
          <w:rFonts w:ascii="Times New Roman" w:hAnsi="Times New Roman" w:cs="Times New Roman"/>
          <w:sz w:val="24"/>
          <w:szCs w:val="24"/>
        </w:rPr>
        <w:t xml:space="preserve">Creation of 5 star hotels and guest rooms for tourists </w:t>
      </w:r>
      <w:r w:rsidRPr="00D91DA9">
        <w:rPr>
          <w:rFonts w:ascii="Times New Roman" w:hAnsi="Times New Roman" w:cs="Times New Roman"/>
          <w:sz w:val="24"/>
          <w:szCs w:val="24"/>
        </w:rPr>
        <w:tab/>
        <w:t xml:space="preserve">Department of Tourism  </w:t>
      </w:r>
    </w:p>
    <w:p w:rsidR="0073793E" w:rsidRPr="00D91DA9" w:rsidRDefault="0063549C" w:rsidP="006518BF">
      <w:pPr>
        <w:tabs>
          <w:tab w:val="center" w:pos="6160"/>
        </w:tabs>
        <w:spacing w:after="100"/>
        <w:ind w:left="-15" w:right="0" w:firstLine="0"/>
        <w:rPr>
          <w:rFonts w:ascii="Times New Roman" w:hAnsi="Times New Roman" w:cs="Times New Roman"/>
          <w:sz w:val="24"/>
          <w:szCs w:val="24"/>
        </w:rPr>
      </w:pPr>
      <w:r w:rsidRPr="00D91DA9">
        <w:rPr>
          <w:rFonts w:ascii="Times New Roman" w:hAnsi="Times New Roman" w:cs="Times New Roman"/>
          <w:sz w:val="24"/>
          <w:szCs w:val="24"/>
        </w:rPr>
        <w:t xml:space="preserve">Establishment of police posts at the tourist sites </w:t>
      </w:r>
      <w:r w:rsidRPr="00D91DA9">
        <w:rPr>
          <w:rFonts w:ascii="Times New Roman" w:hAnsi="Times New Roman" w:cs="Times New Roman"/>
          <w:sz w:val="24"/>
          <w:szCs w:val="24"/>
        </w:rPr>
        <w:tab/>
        <w:t xml:space="preserve">Department of Internal Security </w:t>
      </w:r>
    </w:p>
    <w:p w:rsidR="0073793E" w:rsidRPr="00D91DA9" w:rsidRDefault="0063549C" w:rsidP="006518BF">
      <w:pPr>
        <w:spacing w:after="315"/>
        <w:ind w:left="-5" w:right="636"/>
        <w:rPr>
          <w:rFonts w:ascii="Times New Roman" w:hAnsi="Times New Roman" w:cs="Times New Roman"/>
          <w:sz w:val="24"/>
          <w:szCs w:val="24"/>
        </w:rPr>
      </w:pPr>
      <w:r w:rsidRPr="00D91DA9">
        <w:rPr>
          <w:rFonts w:ascii="Times New Roman" w:hAnsi="Times New Roman" w:cs="Times New Roman"/>
          <w:sz w:val="24"/>
          <w:szCs w:val="24"/>
        </w:rPr>
        <w:t xml:space="preserve">Develop a tourist circuit map showing the routes link Department of Tourism the tourist sites </w:t>
      </w:r>
    </w:p>
    <w:p w:rsidR="0073793E" w:rsidRPr="00D91DA9" w:rsidRDefault="0063549C" w:rsidP="006518BF">
      <w:pPr>
        <w:spacing w:after="0" w:line="259" w:lineRule="auto"/>
        <w:ind w:left="0" w:right="0" w:firstLine="0"/>
        <w:rPr>
          <w:rFonts w:ascii="Times New Roman" w:hAnsi="Times New Roman" w:cs="Times New Roman"/>
          <w:sz w:val="24"/>
          <w:szCs w:val="24"/>
        </w:rPr>
      </w:pPr>
      <w:r w:rsidRPr="00D91DA9">
        <w:rPr>
          <w:rFonts w:ascii="Times New Roman" w:hAnsi="Times New Roman" w:cs="Times New Roman"/>
          <w:sz w:val="24"/>
          <w:szCs w:val="24"/>
        </w:rPr>
        <w:t xml:space="preserve"> </w:t>
      </w:r>
    </w:p>
    <w:sectPr w:rsidR="0073793E" w:rsidRPr="00D91DA9">
      <w:type w:val="continuous"/>
      <w:pgSz w:w="11908" w:h="16836"/>
      <w:pgMar w:top="1482" w:right="2722" w:bottom="1840" w:left="144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B82" w:rsidRDefault="00663B82">
      <w:pPr>
        <w:spacing w:after="0" w:line="240" w:lineRule="auto"/>
      </w:pPr>
      <w:r>
        <w:separator/>
      </w:r>
    </w:p>
  </w:endnote>
  <w:endnote w:type="continuationSeparator" w:id="0">
    <w:p w:rsidR="00663B82" w:rsidRDefault="00663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93E" w:rsidRDefault="0063549C">
    <w:pPr>
      <w:spacing w:after="98" w:line="259" w:lineRule="auto"/>
      <w:ind w:left="0" w:right="10" w:firstLine="0"/>
      <w:jc w:val="center"/>
    </w:pPr>
    <w:r>
      <w:fldChar w:fldCharType="begin"/>
    </w:r>
    <w:r>
      <w:instrText xml:space="preserve"> PAGE   \* MERGEFORMAT </w:instrText>
    </w:r>
    <w:r>
      <w:fldChar w:fldCharType="separate"/>
    </w:r>
    <w:r>
      <w:t>1</w:t>
    </w:r>
    <w:r>
      <w:fldChar w:fldCharType="end"/>
    </w:r>
    <w:r>
      <w:t xml:space="preserve"> </w:t>
    </w:r>
  </w:p>
  <w:p w:rsidR="0073793E" w:rsidRDefault="0063549C">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93E" w:rsidRDefault="0063549C">
    <w:pPr>
      <w:spacing w:after="98" w:line="259" w:lineRule="auto"/>
      <w:ind w:left="0" w:right="10" w:firstLine="0"/>
      <w:jc w:val="center"/>
    </w:pPr>
    <w:r>
      <w:fldChar w:fldCharType="begin"/>
    </w:r>
    <w:r>
      <w:instrText xml:space="preserve"> PAGE   \* MERGEFORMAT </w:instrText>
    </w:r>
    <w:r>
      <w:fldChar w:fldCharType="separate"/>
    </w:r>
    <w:r w:rsidR="00D91DA9">
      <w:rPr>
        <w:noProof/>
      </w:rPr>
      <w:t>16</w:t>
    </w:r>
    <w:r>
      <w:fldChar w:fldCharType="end"/>
    </w:r>
    <w:r>
      <w:t xml:space="preserve"> </w:t>
    </w:r>
  </w:p>
  <w:p w:rsidR="0073793E" w:rsidRDefault="0063549C">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93E" w:rsidRDefault="0063549C">
    <w:pPr>
      <w:spacing w:after="98" w:line="259" w:lineRule="auto"/>
      <w:ind w:left="0" w:right="10" w:firstLine="0"/>
      <w:jc w:val="center"/>
    </w:pPr>
    <w:r>
      <w:fldChar w:fldCharType="begin"/>
    </w:r>
    <w:r>
      <w:instrText xml:space="preserve"> PAGE   \* MERGEFORMAT </w:instrText>
    </w:r>
    <w:r>
      <w:fldChar w:fldCharType="separate"/>
    </w:r>
    <w:r>
      <w:t>1</w:t>
    </w:r>
    <w:r>
      <w:fldChar w:fldCharType="end"/>
    </w:r>
    <w:r>
      <w:t xml:space="preserve"> </w:t>
    </w:r>
  </w:p>
  <w:p w:rsidR="0073793E" w:rsidRDefault="0063549C">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B82" w:rsidRDefault="00663B82">
      <w:pPr>
        <w:spacing w:after="0" w:line="240" w:lineRule="auto"/>
      </w:pPr>
      <w:r>
        <w:separator/>
      </w:r>
    </w:p>
  </w:footnote>
  <w:footnote w:type="continuationSeparator" w:id="0">
    <w:p w:rsidR="00663B82" w:rsidRDefault="00663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92BD7"/>
    <w:multiLevelType w:val="hybridMultilevel"/>
    <w:tmpl w:val="4A46B2CC"/>
    <w:lvl w:ilvl="0" w:tplc="BE2050BA">
      <w:start w:val="1"/>
      <w:numFmt w:val="lowerRoman"/>
      <w:lvlText w:val="%1)"/>
      <w:lvlJc w:val="left"/>
      <w:pPr>
        <w:ind w:left="1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83945504">
      <w:start w:val="1"/>
      <w:numFmt w:val="lowerLetter"/>
      <w:lvlText w:val="%2"/>
      <w:lvlJc w:val="left"/>
      <w:pPr>
        <w:ind w:left="10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E034CCD8">
      <w:start w:val="1"/>
      <w:numFmt w:val="lowerRoman"/>
      <w:lvlText w:val="%3"/>
      <w:lvlJc w:val="left"/>
      <w:pPr>
        <w:ind w:left="18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2AA42890">
      <w:start w:val="1"/>
      <w:numFmt w:val="decimal"/>
      <w:lvlText w:val="%4"/>
      <w:lvlJc w:val="left"/>
      <w:pPr>
        <w:ind w:left="25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686099AC">
      <w:start w:val="1"/>
      <w:numFmt w:val="lowerLetter"/>
      <w:lvlText w:val="%5"/>
      <w:lvlJc w:val="left"/>
      <w:pPr>
        <w:ind w:left="32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F66E69EA">
      <w:start w:val="1"/>
      <w:numFmt w:val="lowerRoman"/>
      <w:lvlText w:val="%6"/>
      <w:lvlJc w:val="left"/>
      <w:pPr>
        <w:ind w:left="39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B4861D0A">
      <w:start w:val="1"/>
      <w:numFmt w:val="decimal"/>
      <w:lvlText w:val="%7"/>
      <w:lvlJc w:val="left"/>
      <w:pPr>
        <w:ind w:left="46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8264A580">
      <w:start w:val="1"/>
      <w:numFmt w:val="lowerLetter"/>
      <w:lvlText w:val="%8"/>
      <w:lvlJc w:val="left"/>
      <w:pPr>
        <w:ind w:left="54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9F365888">
      <w:start w:val="1"/>
      <w:numFmt w:val="lowerRoman"/>
      <w:lvlText w:val="%9"/>
      <w:lvlJc w:val="left"/>
      <w:pPr>
        <w:ind w:left="61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121F79"/>
    <w:multiLevelType w:val="hybridMultilevel"/>
    <w:tmpl w:val="2C68E600"/>
    <w:lvl w:ilvl="0" w:tplc="16F2BDFE">
      <w:start w:val="1"/>
      <w:numFmt w:val="lowerRoman"/>
      <w:lvlText w:val="%1)"/>
      <w:lvlJc w:val="left"/>
      <w:pPr>
        <w:ind w:left="7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68F0263E">
      <w:start w:val="1"/>
      <w:numFmt w:val="lowerLetter"/>
      <w:lvlText w:val="%2"/>
      <w:lvlJc w:val="left"/>
      <w:pPr>
        <w:ind w:left="14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A6CE9FBC">
      <w:start w:val="1"/>
      <w:numFmt w:val="lowerRoman"/>
      <w:lvlText w:val="%3"/>
      <w:lvlJc w:val="left"/>
      <w:pPr>
        <w:ind w:left="21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639E0236">
      <w:start w:val="1"/>
      <w:numFmt w:val="decimal"/>
      <w:lvlText w:val="%4"/>
      <w:lvlJc w:val="left"/>
      <w:pPr>
        <w:ind w:left="28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2F72708A">
      <w:start w:val="1"/>
      <w:numFmt w:val="lowerLetter"/>
      <w:lvlText w:val="%5"/>
      <w:lvlJc w:val="left"/>
      <w:pPr>
        <w:ind w:left="36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D8FAAA6A">
      <w:start w:val="1"/>
      <w:numFmt w:val="lowerRoman"/>
      <w:lvlText w:val="%6"/>
      <w:lvlJc w:val="left"/>
      <w:pPr>
        <w:ind w:left="43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286E6C54">
      <w:start w:val="1"/>
      <w:numFmt w:val="decimal"/>
      <w:lvlText w:val="%7"/>
      <w:lvlJc w:val="left"/>
      <w:pPr>
        <w:ind w:left="50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494423C8">
      <w:start w:val="1"/>
      <w:numFmt w:val="lowerLetter"/>
      <w:lvlText w:val="%8"/>
      <w:lvlJc w:val="left"/>
      <w:pPr>
        <w:ind w:left="57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0B88B3C8">
      <w:start w:val="1"/>
      <w:numFmt w:val="lowerRoman"/>
      <w:lvlText w:val="%9"/>
      <w:lvlJc w:val="left"/>
      <w:pPr>
        <w:ind w:left="64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9C544D"/>
    <w:multiLevelType w:val="hybridMultilevel"/>
    <w:tmpl w:val="968E4C38"/>
    <w:lvl w:ilvl="0" w:tplc="6082C978">
      <w:start w:val="1"/>
      <w:numFmt w:val="lowerRoman"/>
      <w:lvlText w:val="(%1)"/>
      <w:lvlJc w:val="left"/>
      <w:pPr>
        <w:ind w:left="288"/>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9D94A058">
      <w:start w:val="1"/>
      <w:numFmt w:val="lowerLetter"/>
      <w:lvlText w:val="%2"/>
      <w:lvlJc w:val="left"/>
      <w:pPr>
        <w:ind w:left="10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EB84ECB4">
      <w:start w:val="1"/>
      <w:numFmt w:val="lowerRoman"/>
      <w:lvlText w:val="%3"/>
      <w:lvlJc w:val="left"/>
      <w:pPr>
        <w:ind w:left="18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64DE1260">
      <w:start w:val="1"/>
      <w:numFmt w:val="decimal"/>
      <w:lvlText w:val="%4"/>
      <w:lvlJc w:val="left"/>
      <w:pPr>
        <w:ind w:left="25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71E2774C">
      <w:start w:val="1"/>
      <w:numFmt w:val="lowerLetter"/>
      <w:lvlText w:val="%5"/>
      <w:lvlJc w:val="left"/>
      <w:pPr>
        <w:ind w:left="324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347CC18E">
      <w:start w:val="1"/>
      <w:numFmt w:val="lowerRoman"/>
      <w:lvlText w:val="%6"/>
      <w:lvlJc w:val="left"/>
      <w:pPr>
        <w:ind w:left="396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EEDAB912">
      <w:start w:val="1"/>
      <w:numFmt w:val="decimal"/>
      <w:lvlText w:val="%7"/>
      <w:lvlJc w:val="left"/>
      <w:pPr>
        <w:ind w:left="468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61FA3636">
      <w:start w:val="1"/>
      <w:numFmt w:val="lowerLetter"/>
      <w:lvlText w:val="%8"/>
      <w:lvlJc w:val="left"/>
      <w:pPr>
        <w:ind w:left="540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2E20E990">
      <w:start w:val="1"/>
      <w:numFmt w:val="lowerRoman"/>
      <w:lvlText w:val="%9"/>
      <w:lvlJc w:val="left"/>
      <w:pPr>
        <w:ind w:left="6120"/>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93E"/>
    <w:rsid w:val="0063549C"/>
    <w:rsid w:val="006518BF"/>
    <w:rsid w:val="00663B82"/>
    <w:rsid w:val="0073793E"/>
    <w:rsid w:val="00A91730"/>
    <w:rsid w:val="00D9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F44B"/>
  <w15:docId w15:val="{0A2BEC12-D054-48A9-84C4-1706059E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48" w:lineRule="auto"/>
      <w:ind w:left="10" w:right="3" w:hanging="10"/>
      <w:jc w:val="both"/>
    </w:pPr>
    <w:rPr>
      <w:rFonts w:ascii="Garamond" w:eastAsia="Garamond" w:hAnsi="Garamond" w:cs="Garamond"/>
      <w:color w:val="000000"/>
    </w:rPr>
  </w:style>
  <w:style w:type="paragraph" w:styleId="Heading1">
    <w:name w:val="heading 1"/>
    <w:next w:val="Normal"/>
    <w:link w:val="Heading1Char"/>
    <w:uiPriority w:val="9"/>
    <w:unhideWhenUsed/>
    <w:qFormat/>
    <w:pPr>
      <w:keepNext/>
      <w:keepLines/>
      <w:spacing w:after="97"/>
      <w:ind w:left="10" w:right="7" w:hanging="10"/>
      <w:outlineLvl w:val="0"/>
    </w:pPr>
    <w:rPr>
      <w:rFonts w:ascii="Garamond" w:eastAsia="Garamond" w:hAnsi="Garamond" w:cs="Garamond"/>
      <w:b/>
      <w:color w:val="000000"/>
      <w:sz w:val="28"/>
    </w:rPr>
  </w:style>
  <w:style w:type="paragraph" w:styleId="Heading2">
    <w:name w:val="heading 2"/>
    <w:next w:val="Normal"/>
    <w:link w:val="Heading2Char"/>
    <w:uiPriority w:val="9"/>
    <w:unhideWhenUsed/>
    <w:qFormat/>
    <w:pPr>
      <w:keepNext/>
      <w:keepLines/>
      <w:spacing w:after="98"/>
      <w:ind w:left="10" w:hanging="10"/>
      <w:outlineLvl w:val="1"/>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2"/>
    </w:rPr>
  </w:style>
  <w:style w:type="character" w:customStyle="1" w:styleId="Heading1Char">
    <w:name w:val="Heading 1 Char"/>
    <w:link w:val="Heading1"/>
    <w:rPr>
      <w:rFonts w:ascii="Garamond" w:eastAsia="Garamond" w:hAnsi="Garamond" w:cs="Garamond"/>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6006</Words>
  <Characters>34239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 Muri</dc:creator>
  <cp:keywords/>
  <cp:lastModifiedBy>Catherine</cp:lastModifiedBy>
  <cp:revision>3</cp:revision>
  <dcterms:created xsi:type="dcterms:W3CDTF">2020-09-30T07:20:00Z</dcterms:created>
  <dcterms:modified xsi:type="dcterms:W3CDTF">2020-10-01T07:20:00Z</dcterms:modified>
</cp:coreProperties>
</file>