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B85B" w14:textId="77777777" w:rsidR="00F02DD2" w:rsidRPr="00300121" w:rsidRDefault="00000000" w:rsidP="00300121">
      <w:pPr>
        <w:pStyle w:val="Heading1"/>
        <w:spacing w:line="312" w:lineRule="auto"/>
        <w:jc w:val="both"/>
        <w:rPr>
          <w:rFonts w:ascii="Aptos" w:hAnsi="Aptos"/>
        </w:rPr>
      </w:pPr>
      <w:proofErr w:type="gramStart"/>
      <w:r w:rsidRPr="00300121">
        <w:rPr>
          <w:rFonts w:ascii="Aptos" w:hAnsi="Aptos"/>
        </w:rPr>
        <w:t>3  Data</w:t>
      </w:r>
      <w:proofErr w:type="gramEnd"/>
      <w:r w:rsidRPr="00300121">
        <w:rPr>
          <w:rFonts w:ascii="Aptos" w:hAnsi="Aptos"/>
        </w:rPr>
        <w:t xml:space="preserve"> Basis and Preprocessing</w:t>
      </w:r>
    </w:p>
    <w:p w14:paraId="37D62F36" w14:textId="77777777" w:rsidR="00F02DD2" w:rsidRPr="00300121" w:rsidRDefault="00000000" w:rsidP="00300121">
      <w:pPr>
        <w:pStyle w:val="Heading2"/>
        <w:spacing w:line="312" w:lineRule="auto"/>
        <w:jc w:val="both"/>
        <w:rPr>
          <w:rFonts w:ascii="Aptos" w:hAnsi="Aptos"/>
        </w:rPr>
      </w:pPr>
      <w:proofErr w:type="gramStart"/>
      <w:r w:rsidRPr="00300121">
        <w:rPr>
          <w:rFonts w:ascii="Aptos" w:hAnsi="Aptos"/>
        </w:rPr>
        <w:t>3.1  Heat</w:t>
      </w:r>
      <w:proofErr w:type="gramEnd"/>
      <w:r w:rsidRPr="00300121">
        <w:rPr>
          <w:rFonts w:ascii="Aptos" w:hAnsi="Aptos"/>
        </w:rPr>
        <w:t xml:space="preserve"> Demand Data</w:t>
      </w:r>
    </w:p>
    <w:p w14:paraId="2EDDEE48" w14:textId="08B99802" w:rsidR="00F02DD2" w:rsidRPr="00300121" w:rsidRDefault="00000000" w:rsidP="00300121">
      <w:pPr>
        <w:spacing w:after="200" w:line="312" w:lineRule="auto"/>
        <w:jc w:val="both"/>
        <w:rPr>
          <w:rFonts w:ascii="Aptos" w:hAnsi="Aptos"/>
        </w:rPr>
      </w:pPr>
      <w:r w:rsidRPr="00300121">
        <w:rPr>
          <w:rFonts w:ascii="Aptos" w:hAnsi="Aptos"/>
        </w:rPr>
        <w:t xml:space="preserve">As the central component of this project, a district heating network for a fictitious example village comprising 267 households is simulated and </w:t>
      </w:r>
      <w:r w:rsidR="00300121" w:rsidRPr="00300121">
        <w:rPr>
          <w:rFonts w:ascii="Aptos" w:hAnsi="Aptos"/>
        </w:rPr>
        <w:t>optimized</w:t>
      </w:r>
      <w:r w:rsidR="00E64EE8">
        <w:rPr>
          <w:rFonts w:ascii="Aptos" w:hAnsi="Aptos"/>
        </w:rPr>
        <w:t xml:space="preserve"> over a timespan of one year</w:t>
      </w:r>
      <w:r w:rsidRPr="00300121">
        <w:rPr>
          <w:rFonts w:ascii="Aptos" w:hAnsi="Aptos"/>
        </w:rPr>
        <w:t xml:space="preserve">. </w:t>
      </w:r>
      <w:r w:rsidR="00E64EE8">
        <w:rPr>
          <w:rFonts w:ascii="Aptos" w:hAnsi="Aptos"/>
        </w:rPr>
        <w:t>The heat load profiles behind it come from h</w:t>
      </w:r>
      <w:r w:rsidRPr="00300121">
        <w:rPr>
          <w:rFonts w:ascii="Aptos" w:hAnsi="Aptos"/>
        </w:rPr>
        <w:t xml:space="preserve">ourly smart heat meter </w:t>
      </w:r>
      <w:r w:rsidR="00E64EE8">
        <w:rPr>
          <w:rFonts w:ascii="Aptos" w:hAnsi="Aptos"/>
        </w:rPr>
        <w:t>readings</w:t>
      </w:r>
      <w:r w:rsidRPr="00300121">
        <w:rPr>
          <w:rFonts w:ascii="Aptos" w:hAnsi="Aptos"/>
        </w:rPr>
        <w:t xml:space="preserve"> collected in Aalborg, Denmark, as part of a large-scale monitoring campaign </w:t>
      </w:r>
      <w:r w:rsidRPr="00300121">
        <w:rPr>
          <w:rFonts w:ascii="Aptos" w:hAnsi="Aptos"/>
          <w:i/>
          <w:iCs/>
          <w:color w:val="1F4E79"/>
        </w:rPr>
        <w:t>[</w:t>
      </w:r>
      <w:r w:rsidRPr="00300121">
        <w:rPr>
          <w:rFonts w:ascii="Aptos" w:hAnsi="Aptos"/>
          <w:i/>
          <w:iCs/>
          <w:color w:val="1F4E79"/>
          <w:highlight w:val="yellow"/>
        </w:rPr>
        <w:t>Schaffer et al., 2022</w:t>
      </w:r>
      <w:r w:rsidRPr="00300121">
        <w:rPr>
          <w:rFonts w:ascii="Aptos" w:hAnsi="Aptos"/>
          <w:i/>
          <w:iCs/>
          <w:color w:val="1F4E79"/>
        </w:rPr>
        <w:t>]</w:t>
      </w:r>
      <w:r w:rsidRPr="00300121">
        <w:rPr>
          <w:rFonts w:ascii="Aptos" w:hAnsi="Aptos"/>
        </w:rPr>
        <w:t xml:space="preserve">. The dataset </w:t>
      </w:r>
      <w:r w:rsidR="00E64EE8">
        <w:rPr>
          <w:rFonts w:ascii="Aptos" w:hAnsi="Aptos"/>
        </w:rPr>
        <w:t>covers</w:t>
      </w:r>
      <w:r w:rsidRPr="00300121">
        <w:rPr>
          <w:rFonts w:ascii="Aptos" w:hAnsi="Aptos"/>
        </w:rPr>
        <w:t xml:space="preserve"> 3,021 residential smart heat meters </w:t>
      </w:r>
      <w:r w:rsidR="00E64EE8">
        <w:rPr>
          <w:rFonts w:ascii="Aptos" w:hAnsi="Aptos"/>
        </w:rPr>
        <w:t>from</w:t>
      </w:r>
      <w:r w:rsidRPr="00300121">
        <w:rPr>
          <w:rFonts w:ascii="Aptos" w:hAnsi="Aptos"/>
        </w:rPr>
        <w:t xml:space="preserve"> 2018–2020 at hourly resolution, with contextual metadata on building type and construction year </w:t>
      </w:r>
      <w:r w:rsidRPr="00300121">
        <w:rPr>
          <w:rFonts w:ascii="Aptos" w:hAnsi="Aptos"/>
          <w:i/>
          <w:iCs/>
          <w:color w:val="1F4E79"/>
        </w:rPr>
        <w:t>[</w:t>
      </w:r>
      <w:r w:rsidRPr="00300121">
        <w:rPr>
          <w:rFonts w:ascii="Aptos" w:hAnsi="Aptos"/>
          <w:i/>
          <w:iCs/>
          <w:color w:val="1F4E79"/>
          <w:highlight w:val="yellow"/>
        </w:rPr>
        <w:t>Schaffer et al., 2022</w:t>
      </w:r>
      <w:r w:rsidRPr="00300121">
        <w:rPr>
          <w:rFonts w:ascii="Aptos" w:hAnsi="Aptos"/>
          <w:i/>
          <w:iCs/>
          <w:color w:val="1F4E79"/>
        </w:rPr>
        <w:t>]</w:t>
      </w:r>
      <w:r w:rsidRPr="00300121">
        <w:rPr>
          <w:rFonts w:ascii="Aptos" w:hAnsi="Aptos"/>
        </w:rPr>
        <w:t xml:space="preserve">. 2019 was </w:t>
      </w:r>
      <w:proofErr w:type="spellStart"/>
      <w:r w:rsidR="00E64EE8">
        <w:rPr>
          <w:rFonts w:ascii="Aptos" w:hAnsi="Aptos"/>
        </w:rPr>
        <w:t>chosen</w:t>
      </w:r>
      <w:r w:rsidRPr="00300121">
        <w:rPr>
          <w:rFonts w:ascii="Aptos" w:hAnsi="Aptos"/>
        </w:rPr>
        <w:t xml:space="preserve"> </w:t>
      </w:r>
      <w:proofErr w:type="spellEnd"/>
      <w:r w:rsidRPr="00300121">
        <w:rPr>
          <w:rFonts w:ascii="Aptos" w:hAnsi="Aptos"/>
        </w:rPr>
        <w:t>as the reference year</w:t>
      </w:r>
      <w:r w:rsidR="00E64EE8">
        <w:rPr>
          <w:rFonts w:ascii="Aptos" w:hAnsi="Aptos"/>
        </w:rPr>
        <w:t xml:space="preserve"> because </w:t>
      </w:r>
      <w:r w:rsidRPr="00300121">
        <w:rPr>
          <w:rFonts w:ascii="Aptos" w:hAnsi="Aptos"/>
        </w:rPr>
        <w:t xml:space="preserve">it </w:t>
      </w:r>
      <w:r w:rsidR="00E64EE8">
        <w:rPr>
          <w:rFonts w:ascii="Aptos" w:hAnsi="Aptos"/>
        </w:rPr>
        <w:t>has</w:t>
      </w:r>
      <w:r w:rsidRPr="00300121">
        <w:rPr>
          <w:rFonts w:ascii="Aptos" w:hAnsi="Aptos"/>
        </w:rPr>
        <w:t xml:space="preserve"> the most complete data coverage</w:t>
      </w:r>
      <w:r w:rsidR="00E64EE8">
        <w:rPr>
          <w:rFonts w:ascii="Aptos" w:hAnsi="Aptos"/>
        </w:rPr>
        <w:t xml:space="preserve"> and is the last</w:t>
      </w:r>
      <w:r w:rsidRPr="00300121">
        <w:rPr>
          <w:rFonts w:ascii="Aptos" w:hAnsi="Aptos"/>
        </w:rPr>
        <w:t xml:space="preserve"> year </w:t>
      </w:r>
      <w:r w:rsidR="00E64EE8">
        <w:rPr>
          <w:rFonts w:ascii="Aptos" w:hAnsi="Aptos"/>
        </w:rPr>
        <w:t>before</w:t>
      </w:r>
      <w:r w:rsidRPr="00300121">
        <w:rPr>
          <w:rFonts w:ascii="Aptos" w:hAnsi="Aptos"/>
        </w:rPr>
        <w:t xml:space="preserve"> the COVID-19 pandemic and the energy-price crisis</w:t>
      </w:r>
      <w:r w:rsidR="00E64EE8">
        <w:rPr>
          <w:rFonts w:ascii="Aptos" w:hAnsi="Aptos"/>
        </w:rPr>
        <w:t>.</w:t>
      </w:r>
      <w:r w:rsidRPr="00300121">
        <w:rPr>
          <w:rFonts w:ascii="Aptos" w:hAnsi="Aptos"/>
        </w:rPr>
        <w:t xml:space="preserve"> </w:t>
      </w:r>
      <w:r w:rsidR="00E64EE8">
        <w:rPr>
          <w:rFonts w:ascii="Aptos" w:hAnsi="Aptos"/>
        </w:rPr>
        <w:t>Both periods might have influenced demand patterns.</w:t>
      </w:r>
    </w:p>
    <w:p w14:paraId="130AFFEC" w14:textId="78C3ECF1" w:rsidR="00F02DD2" w:rsidRPr="00300121" w:rsidRDefault="00000000" w:rsidP="00300121">
      <w:pPr>
        <w:spacing w:after="200" w:line="312" w:lineRule="auto"/>
        <w:jc w:val="both"/>
        <w:rPr>
          <w:rFonts w:ascii="Aptos" w:hAnsi="Aptos"/>
        </w:rPr>
      </w:pPr>
      <w:r w:rsidRPr="00300121">
        <w:rPr>
          <w:rFonts w:ascii="Aptos" w:hAnsi="Aptos"/>
        </w:rPr>
        <w:t xml:space="preserve">The simulated </w:t>
      </w:r>
      <w:r w:rsidR="00F40988">
        <w:rPr>
          <w:rFonts w:ascii="Aptos" w:hAnsi="Aptos"/>
        </w:rPr>
        <w:t>location</w:t>
      </w:r>
      <w:r w:rsidR="00300121">
        <w:rPr>
          <w:rFonts w:ascii="Aptos" w:hAnsi="Aptos"/>
        </w:rPr>
        <w:t xml:space="preserve"> </w:t>
      </w:r>
      <w:proofErr w:type="spellStart"/>
      <w:r w:rsidR="00300121">
        <w:rPr>
          <w:rFonts w:ascii="Aptos" w:hAnsi="Aptos"/>
        </w:rPr>
        <w:t>Jerrishoe</w:t>
      </w:r>
      <w:proofErr w:type="spellEnd"/>
      <w:r w:rsidR="00F40988">
        <w:rPr>
          <w:rFonts w:ascii="Aptos" w:hAnsi="Aptos"/>
        </w:rPr>
        <w:t xml:space="preserve"> </w:t>
      </w:r>
      <w:r w:rsidRPr="00300121">
        <w:rPr>
          <w:rFonts w:ascii="Aptos" w:hAnsi="Aptos"/>
        </w:rPr>
        <w:t xml:space="preserve">represents a typical northern German </w:t>
      </w:r>
      <w:r w:rsidR="00F40988">
        <w:rPr>
          <w:rFonts w:ascii="Aptos" w:hAnsi="Aptos"/>
        </w:rPr>
        <w:t>village</w:t>
      </w:r>
      <w:r w:rsidRPr="00300121">
        <w:rPr>
          <w:rFonts w:ascii="Aptos" w:hAnsi="Aptos"/>
        </w:rPr>
        <w:t xml:space="preserve"> suitable for district heating</w:t>
      </w:r>
      <w:r w:rsidR="00F40988">
        <w:rPr>
          <w:rFonts w:ascii="Aptos" w:hAnsi="Aptos"/>
        </w:rPr>
        <w:t xml:space="preserve">. It is mainly covered </w:t>
      </w:r>
      <w:r w:rsidRPr="00300121">
        <w:rPr>
          <w:rFonts w:ascii="Aptos" w:hAnsi="Aptos"/>
        </w:rPr>
        <w:t>by residential</w:t>
      </w:r>
      <w:r w:rsidR="00F40988">
        <w:rPr>
          <w:rFonts w:ascii="Aptos" w:hAnsi="Aptos"/>
        </w:rPr>
        <w:t xml:space="preserve"> households</w:t>
      </w:r>
      <w:r w:rsidRPr="00300121">
        <w:rPr>
          <w:rFonts w:ascii="Aptos" w:hAnsi="Aptos"/>
        </w:rPr>
        <w:t xml:space="preserve"> rather than industrial or commercial consumers. </w:t>
      </w:r>
      <w:r w:rsidR="00F40988">
        <w:rPr>
          <w:rFonts w:ascii="Aptos" w:hAnsi="Aptos"/>
        </w:rPr>
        <w:t>Therefor the Alborg dataset is an appropriate structural proxy s</w:t>
      </w:r>
      <w:r w:rsidRPr="00300121">
        <w:rPr>
          <w:rFonts w:ascii="Aptos" w:hAnsi="Aptos"/>
        </w:rPr>
        <w:t xml:space="preserve">ince </w:t>
      </w:r>
      <w:r w:rsidR="00F40988">
        <w:rPr>
          <w:rFonts w:ascii="Aptos" w:hAnsi="Aptos"/>
        </w:rPr>
        <w:t>it</w:t>
      </w:r>
      <w:r w:rsidRPr="00300121">
        <w:rPr>
          <w:rFonts w:ascii="Aptos" w:hAnsi="Aptos"/>
        </w:rPr>
        <w:t xml:space="preserve"> reflects household consumption</w:t>
      </w:r>
      <w:r w:rsidR="00F40988">
        <w:rPr>
          <w:rFonts w:ascii="Aptos" w:hAnsi="Aptos"/>
        </w:rPr>
        <w:t>.</w:t>
      </w:r>
    </w:p>
    <w:p w14:paraId="2808CA51" w14:textId="3F25248F" w:rsidR="00F02DD2" w:rsidRPr="00300121" w:rsidRDefault="00F40988" w:rsidP="00300121">
      <w:pPr>
        <w:spacing w:after="200" w:line="312" w:lineRule="auto"/>
        <w:jc w:val="both"/>
        <w:rPr>
          <w:rFonts w:ascii="Aptos" w:hAnsi="Aptos"/>
        </w:rPr>
      </w:pPr>
      <w:r>
        <w:rPr>
          <w:rFonts w:ascii="Aptos" w:hAnsi="Aptos"/>
        </w:rPr>
        <w:t>Nevertheless,</w:t>
      </w:r>
      <w:r w:rsidR="00000000" w:rsidRPr="00300121">
        <w:rPr>
          <w:rFonts w:ascii="Aptos" w:hAnsi="Aptos"/>
        </w:rPr>
        <w:t xml:space="preserve"> Aalborg is not assumed to be equivalent to </w:t>
      </w:r>
      <w:proofErr w:type="spellStart"/>
      <w:r w:rsidR="00000000" w:rsidRPr="00300121">
        <w:rPr>
          <w:rFonts w:ascii="Aptos" w:hAnsi="Aptos"/>
        </w:rPr>
        <w:t>Jerrishoe</w:t>
      </w:r>
      <w:proofErr w:type="spellEnd"/>
      <w:r w:rsidR="00000000" w:rsidRPr="00300121">
        <w:rPr>
          <w:rFonts w:ascii="Aptos" w:hAnsi="Aptos"/>
        </w:rPr>
        <w:t xml:space="preserve">. </w:t>
      </w:r>
      <w:r>
        <w:rPr>
          <w:rFonts w:ascii="Aptos" w:hAnsi="Aptos"/>
        </w:rPr>
        <w:t xml:space="preserve">But the dataset provides </w:t>
      </w:r>
      <w:r w:rsidR="00000000" w:rsidRPr="00300121">
        <w:rPr>
          <w:rFonts w:ascii="Aptos" w:hAnsi="Aptos"/>
        </w:rPr>
        <w:t>generic residential district-heating-connected demand dynamics. The resulting mismatch risk is quantified through a temperature and heating-degree-day comparison (</w:t>
      </w:r>
      <w:r w:rsidR="00000000" w:rsidRPr="00300121">
        <w:rPr>
          <w:rFonts w:ascii="Aptos" w:hAnsi="Aptos"/>
          <w:highlight w:val="yellow"/>
        </w:rPr>
        <w:t>Section 3.3</w:t>
      </w:r>
      <w:r w:rsidR="00000000" w:rsidRPr="00300121">
        <w:rPr>
          <w:rFonts w:ascii="Aptos" w:hAnsi="Aptos"/>
        </w:rPr>
        <w:t xml:space="preserve">) and is explicitly acknowledged as a potential source of bias in the absolute level of heat demand transferred to the </w:t>
      </w:r>
      <w:commentRangeStart w:id="0"/>
      <w:r w:rsidR="00000000" w:rsidRPr="00300121">
        <w:rPr>
          <w:rFonts w:ascii="Aptos" w:hAnsi="Aptos"/>
        </w:rPr>
        <w:t>model</w:t>
      </w:r>
      <w:commentRangeEnd w:id="0"/>
      <w:r w:rsidR="00300121">
        <w:rPr>
          <w:rStyle w:val="CommentReference"/>
        </w:rPr>
        <w:commentReference w:id="0"/>
      </w:r>
      <w:r w:rsidR="00000000" w:rsidRPr="00300121">
        <w:rPr>
          <w:rFonts w:ascii="Aptos" w:hAnsi="Aptos"/>
        </w:rPr>
        <w:t>.</w:t>
      </w:r>
    </w:p>
    <w:p w14:paraId="4723EF05" w14:textId="77777777" w:rsidR="00F02DD2" w:rsidRDefault="00000000" w:rsidP="00300121">
      <w:pPr>
        <w:pStyle w:val="Heading2"/>
        <w:spacing w:line="312" w:lineRule="auto"/>
        <w:jc w:val="both"/>
        <w:rPr>
          <w:rFonts w:ascii="Aptos" w:hAnsi="Aptos"/>
        </w:rPr>
      </w:pPr>
      <w:proofErr w:type="gramStart"/>
      <w:r w:rsidRPr="00300121">
        <w:rPr>
          <w:rFonts w:ascii="Aptos" w:hAnsi="Aptos"/>
        </w:rPr>
        <w:t>3.2  Data</w:t>
      </w:r>
      <w:proofErr w:type="gramEnd"/>
      <w:r w:rsidRPr="00300121">
        <w:rPr>
          <w:rFonts w:ascii="Aptos" w:hAnsi="Aptos"/>
        </w:rPr>
        <w:t xml:space="preserve"> Processing Pipeline</w:t>
      </w:r>
    </w:p>
    <w:p w14:paraId="48955C79" w14:textId="77777777" w:rsidR="00F02DD2" w:rsidRPr="00300121" w:rsidRDefault="00000000" w:rsidP="00300121">
      <w:pPr>
        <w:pStyle w:val="Heading3"/>
        <w:spacing w:line="312" w:lineRule="auto"/>
        <w:jc w:val="both"/>
        <w:rPr>
          <w:rFonts w:ascii="Aptos" w:hAnsi="Aptos"/>
        </w:rPr>
      </w:pPr>
      <w:proofErr w:type="gramStart"/>
      <w:r w:rsidRPr="00300121">
        <w:rPr>
          <w:rFonts w:ascii="Aptos" w:hAnsi="Aptos"/>
        </w:rPr>
        <w:t>3.2.1  Step</w:t>
      </w:r>
      <w:proofErr w:type="gramEnd"/>
      <w:r w:rsidRPr="00300121">
        <w:rPr>
          <w:rFonts w:ascii="Aptos" w:hAnsi="Aptos"/>
        </w:rPr>
        <w:t xml:space="preserve"> 1 – Quality Assurance</w:t>
      </w:r>
    </w:p>
    <w:p w14:paraId="250956A4" w14:textId="07987FDE" w:rsidR="00F02DD2" w:rsidRPr="00300121" w:rsidRDefault="00000000" w:rsidP="00300121">
      <w:pPr>
        <w:spacing w:after="200" w:line="312" w:lineRule="auto"/>
        <w:jc w:val="both"/>
        <w:rPr>
          <w:rFonts w:ascii="Aptos" w:hAnsi="Aptos"/>
        </w:rPr>
      </w:pPr>
      <w:r w:rsidRPr="00300121">
        <w:rPr>
          <w:rFonts w:ascii="Aptos" w:hAnsi="Aptos"/>
        </w:rPr>
        <w:t xml:space="preserve">Step 1 </w:t>
      </w:r>
      <w:r w:rsidR="008E58BE">
        <w:rPr>
          <w:rFonts w:ascii="Aptos" w:hAnsi="Aptos"/>
        </w:rPr>
        <w:t>is</w:t>
      </w:r>
      <w:r w:rsidRPr="00300121">
        <w:rPr>
          <w:rFonts w:ascii="Aptos" w:hAnsi="Aptos"/>
        </w:rPr>
        <w:t xml:space="preserve"> a</w:t>
      </w:r>
      <w:r w:rsidR="008E58BE">
        <w:rPr>
          <w:rFonts w:ascii="Aptos" w:hAnsi="Aptos"/>
        </w:rPr>
        <w:t xml:space="preserve"> </w:t>
      </w:r>
      <w:r w:rsidRPr="00300121">
        <w:rPr>
          <w:rFonts w:ascii="Aptos" w:hAnsi="Aptos"/>
        </w:rPr>
        <w:t>quality-assurance stage. All 3,021 meters are read in for 2019 and merged with the contextual metadata</w:t>
      </w:r>
      <w:r w:rsidR="008E58BE">
        <w:rPr>
          <w:rFonts w:ascii="Aptos" w:hAnsi="Aptos"/>
        </w:rPr>
        <w:t xml:space="preserve">. </w:t>
      </w:r>
      <w:r w:rsidR="00300121">
        <w:rPr>
          <w:rFonts w:ascii="Aptos" w:hAnsi="Aptos"/>
        </w:rPr>
        <w:t xml:space="preserve">Duplicate </w:t>
      </w:r>
      <w:r w:rsidRPr="00300121">
        <w:rPr>
          <w:rFonts w:ascii="Aptos" w:hAnsi="Aptos"/>
        </w:rPr>
        <w:t xml:space="preserve">readings within the same hour are averaged. Missing hours are retained as </w:t>
      </w:r>
      <w:proofErr w:type="spellStart"/>
      <w:r w:rsidRPr="00300121">
        <w:rPr>
          <w:rFonts w:ascii="Aptos" w:hAnsi="Aptos"/>
        </w:rPr>
        <w:t>NaN</w:t>
      </w:r>
      <w:proofErr w:type="spellEnd"/>
      <w:r w:rsidRPr="00300121">
        <w:rPr>
          <w:rFonts w:ascii="Aptos" w:hAnsi="Aptos"/>
        </w:rPr>
        <w:t xml:space="preserve"> and are deliberately not interpolated at this stage.</w:t>
      </w:r>
    </w:p>
    <w:p w14:paraId="724D8C65" w14:textId="7723F4CD" w:rsidR="00F02DD2" w:rsidRPr="00300121" w:rsidRDefault="00000000" w:rsidP="00300121">
      <w:pPr>
        <w:spacing w:after="200" w:line="312" w:lineRule="auto"/>
        <w:jc w:val="both"/>
        <w:rPr>
          <w:rFonts w:ascii="Aptos" w:hAnsi="Aptos"/>
        </w:rPr>
      </w:pPr>
      <w:r w:rsidRPr="00300121">
        <w:rPr>
          <w:rFonts w:ascii="Aptos" w:hAnsi="Aptos"/>
        </w:rPr>
        <w:t>Two indicators are derived per meter: annual consumption, computed as the difference between the maximum and minimum cumulative meter reading within 2019</w:t>
      </w:r>
      <w:r w:rsidR="008E58BE">
        <w:rPr>
          <w:rFonts w:ascii="Aptos" w:hAnsi="Aptos"/>
        </w:rPr>
        <w:t xml:space="preserve">. This is </w:t>
      </w:r>
      <w:r w:rsidRPr="00300121">
        <w:rPr>
          <w:rFonts w:ascii="Aptos" w:hAnsi="Aptos"/>
        </w:rPr>
        <w:t>robust to gaps in the hourly load column</w:t>
      </w:r>
      <w:r w:rsidR="008E58BE">
        <w:rPr>
          <w:rFonts w:ascii="Aptos" w:hAnsi="Aptos"/>
        </w:rPr>
        <w:t>.</w:t>
      </w:r>
      <w:r w:rsidRPr="00300121">
        <w:rPr>
          <w:rFonts w:ascii="Aptos" w:hAnsi="Aptos"/>
        </w:rPr>
        <w:t xml:space="preserve"> </w:t>
      </w:r>
      <w:r w:rsidR="008E58BE">
        <w:rPr>
          <w:rFonts w:ascii="Aptos" w:hAnsi="Aptos"/>
        </w:rPr>
        <w:t>The peak load comes from the hourly load values where</w:t>
      </w:r>
      <w:r w:rsidRPr="00300121">
        <w:rPr>
          <w:rFonts w:ascii="Aptos" w:hAnsi="Aptos"/>
        </w:rPr>
        <w:t xml:space="preserve"> the maximum</w:t>
      </w:r>
      <w:r w:rsidR="008E58BE">
        <w:rPr>
          <w:rFonts w:ascii="Aptos" w:hAnsi="Aptos"/>
        </w:rPr>
        <w:t xml:space="preserve"> across the year is taken</w:t>
      </w:r>
      <w:r w:rsidRPr="00300121">
        <w:rPr>
          <w:rFonts w:ascii="Aptos" w:hAnsi="Aptos"/>
        </w:rPr>
        <w:t xml:space="preserve"> (</w:t>
      </w:r>
      <w:proofErr w:type="spellStart"/>
      <w:r w:rsidRPr="00300121">
        <w:rPr>
          <w:rFonts w:ascii="Aptos" w:hAnsi="Aptos"/>
        </w:rPr>
        <w:t>NaN</w:t>
      </w:r>
      <w:proofErr w:type="spellEnd"/>
      <w:r w:rsidRPr="00300121">
        <w:rPr>
          <w:rFonts w:ascii="Aptos" w:hAnsi="Aptos"/>
        </w:rPr>
        <w:t xml:space="preserve">-safe). Meters are </w:t>
      </w:r>
      <w:r w:rsidR="008E58BE">
        <w:rPr>
          <w:rFonts w:ascii="Aptos" w:hAnsi="Aptos"/>
        </w:rPr>
        <w:t>considered</w:t>
      </w:r>
      <w:r w:rsidRPr="00300121">
        <w:rPr>
          <w:rFonts w:ascii="Aptos" w:hAnsi="Aptos"/>
        </w:rPr>
        <w:t xml:space="preserve"> only if their hourly data coverage reaches at least 70%, a threshold established in the smart-meter literature </w:t>
      </w:r>
      <w:r w:rsidRPr="00300121">
        <w:rPr>
          <w:rFonts w:ascii="Aptos" w:hAnsi="Aptos"/>
          <w:i/>
          <w:iCs/>
          <w:color w:val="1F4E79"/>
        </w:rPr>
        <w:t>[</w:t>
      </w:r>
      <w:r w:rsidRPr="00300121">
        <w:rPr>
          <w:rFonts w:ascii="Aptos" w:hAnsi="Aptos"/>
          <w:i/>
          <w:iCs/>
          <w:color w:val="1F4E79"/>
          <w:highlight w:val="yellow"/>
        </w:rPr>
        <w:t>Schaffer et al., 2022</w:t>
      </w:r>
      <w:r w:rsidRPr="00300121">
        <w:rPr>
          <w:rFonts w:ascii="Aptos" w:hAnsi="Aptos"/>
          <w:i/>
          <w:iCs/>
          <w:color w:val="1F4E79"/>
        </w:rPr>
        <w:t>]</w:t>
      </w:r>
      <w:r w:rsidR="008E58BE">
        <w:rPr>
          <w:rFonts w:ascii="Aptos" w:hAnsi="Aptos"/>
        </w:rPr>
        <w:t>. M</w:t>
      </w:r>
      <w:r w:rsidRPr="00300121">
        <w:rPr>
          <w:rFonts w:ascii="Aptos" w:hAnsi="Aptos"/>
        </w:rPr>
        <w:t xml:space="preserve">eters with an “unclear” building type, or a negative annual consumption indicating a meter reset, are </w:t>
      </w:r>
      <w:commentRangeStart w:id="1"/>
      <w:r w:rsidRPr="00300121">
        <w:rPr>
          <w:rFonts w:ascii="Aptos" w:hAnsi="Aptos"/>
        </w:rPr>
        <w:t>excluded</w:t>
      </w:r>
      <w:commentRangeEnd w:id="1"/>
      <w:r w:rsidR="00300121">
        <w:rPr>
          <w:rStyle w:val="CommentReference"/>
        </w:rPr>
        <w:commentReference w:id="1"/>
      </w:r>
      <w:r w:rsidRPr="00300121">
        <w:rPr>
          <w:rFonts w:ascii="Aptos" w:hAnsi="Aptos"/>
        </w:rPr>
        <w:t>.</w:t>
      </w:r>
    </w:p>
    <w:p w14:paraId="1253E427" w14:textId="77777777" w:rsidR="00F02DD2" w:rsidRPr="00300121" w:rsidRDefault="00000000" w:rsidP="00300121">
      <w:pPr>
        <w:pStyle w:val="Heading3"/>
        <w:spacing w:line="312" w:lineRule="auto"/>
        <w:jc w:val="both"/>
        <w:rPr>
          <w:rFonts w:ascii="Aptos" w:hAnsi="Aptos"/>
        </w:rPr>
      </w:pPr>
      <w:proofErr w:type="gramStart"/>
      <w:r w:rsidRPr="00300121">
        <w:rPr>
          <w:rFonts w:ascii="Aptos" w:hAnsi="Aptos"/>
        </w:rPr>
        <w:t>3.2.2  Step</w:t>
      </w:r>
      <w:proofErr w:type="gramEnd"/>
      <w:r w:rsidRPr="00300121">
        <w:rPr>
          <w:rFonts w:ascii="Aptos" w:hAnsi="Aptos"/>
        </w:rPr>
        <w:t xml:space="preserve"> 2 – Stratified Sampling</w:t>
      </w:r>
    </w:p>
    <w:p w14:paraId="376478BF" w14:textId="50A4A543" w:rsidR="00F02DD2" w:rsidRPr="00300121" w:rsidRDefault="00EC7E9D" w:rsidP="00300121">
      <w:pPr>
        <w:spacing w:after="200" w:line="312" w:lineRule="auto"/>
        <w:jc w:val="both"/>
        <w:rPr>
          <w:rFonts w:ascii="Aptos" w:hAnsi="Aptos"/>
        </w:rPr>
      </w:pPr>
      <w:r>
        <w:rPr>
          <w:rFonts w:ascii="Aptos" w:hAnsi="Aptos"/>
        </w:rPr>
        <w:t>The</w:t>
      </w:r>
      <w:r w:rsidR="00000000" w:rsidRPr="00300121">
        <w:rPr>
          <w:rFonts w:ascii="Aptos" w:hAnsi="Aptos"/>
        </w:rPr>
        <w:t xml:space="preserve"> network simulation</w:t>
      </w:r>
      <w:r>
        <w:rPr>
          <w:rFonts w:ascii="Aptos" w:hAnsi="Aptos"/>
        </w:rPr>
        <w:t xml:space="preserve"> requires </w:t>
      </w:r>
      <w:r w:rsidR="00000000" w:rsidRPr="00300121">
        <w:rPr>
          <w:rFonts w:ascii="Aptos" w:hAnsi="Aptos"/>
        </w:rPr>
        <w:t>exactly 267 representative hourly load profiles</w:t>
      </w:r>
      <w:r>
        <w:rPr>
          <w:rFonts w:ascii="Aptos" w:hAnsi="Aptos"/>
        </w:rPr>
        <w:t xml:space="preserve">. </w:t>
      </w:r>
      <w:r w:rsidR="00000000" w:rsidRPr="00300121">
        <w:rPr>
          <w:rFonts w:ascii="Aptos" w:hAnsi="Aptos"/>
        </w:rPr>
        <w:t xml:space="preserve">Rather than generating synthetic </w:t>
      </w:r>
      <w:r>
        <w:rPr>
          <w:rFonts w:ascii="Aptos" w:hAnsi="Aptos"/>
        </w:rPr>
        <w:t>ones</w:t>
      </w:r>
      <w:r w:rsidR="00000000" w:rsidRPr="00300121">
        <w:rPr>
          <w:rFonts w:ascii="Aptos" w:hAnsi="Aptos"/>
        </w:rPr>
        <w:t xml:space="preserve">, real, quality-checked smart meter profiles are drawn from the population using </w:t>
      </w:r>
      <w:r>
        <w:rPr>
          <w:rFonts w:ascii="Aptos" w:hAnsi="Aptos"/>
        </w:rPr>
        <w:t>the</w:t>
      </w:r>
      <w:r w:rsidR="00000000" w:rsidRPr="00300121">
        <w:rPr>
          <w:rFonts w:ascii="Aptos" w:hAnsi="Aptos"/>
        </w:rPr>
        <w:t xml:space="preserve"> stratified sampling </w:t>
      </w:r>
      <w:r>
        <w:rPr>
          <w:rFonts w:ascii="Aptos" w:hAnsi="Aptos"/>
        </w:rPr>
        <w:t>method</w:t>
      </w:r>
      <w:r w:rsidR="00000000" w:rsidRPr="00300121">
        <w:rPr>
          <w:rFonts w:ascii="Aptos" w:hAnsi="Aptos"/>
        </w:rPr>
        <w:t xml:space="preserve"> </w:t>
      </w:r>
      <w:r w:rsidR="00000000" w:rsidRPr="00300121">
        <w:rPr>
          <w:rFonts w:ascii="Aptos" w:hAnsi="Aptos"/>
          <w:i/>
          <w:iCs/>
          <w:color w:val="1F4E79"/>
        </w:rPr>
        <w:t>[</w:t>
      </w:r>
      <w:r w:rsidR="00000000" w:rsidRPr="00AF733D">
        <w:rPr>
          <w:rFonts w:ascii="Aptos" w:hAnsi="Aptos"/>
          <w:i/>
          <w:iCs/>
          <w:color w:val="1F4E79"/>
          <w:highlight w:val="yellow"/>
        </w:rPr>
        <w:t>Cochran, 1977</w:t>
      </w:r>
      <w:r w:rsidR="00000000" w:rsidRPr="00300121">
        <w:rPr>
          <w:rFonts w:ascii="Aptos" w:hAnsi="Aptos"/>
          <w:i/>
          <w:iCs/>
          <w:color w:val="1F4E79"/>
        </w:rPr>
        <w:t>]</w:t>
      </w:r>
      <w:r w:rsidR="00000000" w:rsidRPr="00300121">
        <w:rPr>
          <w:rFonts w:ascii="Aptos" w:hAnsi="Aptos"/>
        </w:rPr>
        <w:t>. Meters are first stratified by building type</w:t>
      </w:r>
      <w:r>
        <w:rPr>
          <w:rFonts w:ascii="Aptos" w:hAnsi="Aptos"/>
        </w:rPr>
        <w:t>:</w:t>
      </w:r>
      <w:r w:rsidR="00000000" w:rsidRPr="00300121">
        <w:rPr>
          <w:rFonts w:ascii="Aptos" w:hAnsi="Aptos"/>
        </w:rPr>
        <w:t xml:space="preserve"> the </w:t>
      </w:r>
      <w:r>
        <w:rPr>
          <w:rFonts w:ascii="Aptos" w:hAnsi="Aptos"/>
        </w:rPr>
        <w:t>amount</w:t>
      </w:r>
      <w:r w:rsidR="00000000" w:rsidRPr="00300121">
        <w:rPr>
          <w:rFonts w:ascii="Aptos" w:hAnsi="Aptos"/>
        </w:rPr>
        <w:t xml:space="preserve"> of profiles allocated to each type is determined proportionally to its population share, using the largest-remainder (Hamilton) procedure to guarantee that the integer </w:t>
      </w:r>
      <w:r>
        <w:rPr>
          <w:rFonts w:ascii="Aptos" w:hAnsi="Aptos"/>
        </w:rPr>
        <w:t xml:space="preserve">counts </w:t>
      </w:r>
      <w:r w:rsidR="00000000" w:rsidRPr="00300121">
        <w:rPr>
          <w:rFonts w:ascii="Aptos" w:hAnsi="Aptos"/>
        </w:rPr>
        <w:t xml:space="preserve">sum exactly to 267 </w:t>
      </w:r>
      <w:r w:rsidR="00000000" w:rsidRPr="00300121">
        <w:rPr>
          <w:rFonts w:ascii="Aptos" w:hAnsi="Aptos"/>
          <w:i/>
          <w:iCs/>
          <w:color w:val="1F4E79"/>
        </w:rPr>
        <w:t>[</w:t>
      </w:r>
      <w:r w:rsidR="00000000" w:rsidRPr="00AF733D">
        <w:rPr>
          <w:rFonts w:ascii="Aptos" w:hAnsi="Aptos"/>
          <w:i/>
          <w:iCs/>
          <w:color w:val="1F4E79"/>
          <w:highlight w:val="yellow"/>
        </w:rPr>
        <w:t>Cochran, 1977</w:t>
      </w:r>
      <w:r w:rsidR="00000000" w:rsidRPr="00300121">
        <w:rPr>
          <w:rFonts w:ascii="Aptos" w:hAnsi="Aptos"/>
          <w:i/>
          <w:iCs/>
          <w:color w:val="1F4E79"/>
        </w:rPr>
        <w:t>]</w:t>
      </w:r>
      <w:r w:rsidR="00000000" w:rsidRPr="00300121">
        <w:rPr>
          <w:rFonts w:ascii="Aptos" w:hAnsi="Aptos"/>
        </w:rPr>
        <w:t xml:space="preserve">. </w:t>
      </w:r>
      <w:r w:rsidR="00000000" w:rsidRPr="00B406F9">
        <w:rPr>
          <w:rFonts w:ascii="Aptos" w:hAnsi="Aptos"/>
        </w:rPr>
        <w:t xml:space="preserve">Within each </w:t>
      </w:r>
      <w:r w:rsidR="00000000" w:rsidRPr="00300121">
        <w:rPr>
          <w:rFonts w:ascii="Aptos" w:hAnsi="Aptos"/>
        </w:rPr>
        <w:t xml:space="preserve">building-type </w:t>
      </w:r>
      <w:r w:rsidR="00B406F9">
        <w:rPr>
          <w:rFonts w:ascii="Aptos" w:hAnsi="Aptos"/>
        </w:rPr>
        <w:t>category</w:t>
      </w:r>
      <w:r w:rsidR="00000000" w:rsidRPr="00300121">
        <w:rPr>
          <w:rFonts w:ascii="Aptos" w:hAnsi="Aptos"/>
        </w:rPr>
        <w:t xml:space="preserve">, meters are further divided into ten quantile bins </w:t>
      </w:r>
      <w:r w:rsidR="00B406F9">
        <w:rPr>
          <w:rFonts w:ascii="Aptos" w:hAnsi="Aptos"/>
        </w:rPr>
        <w:t>by</w:t>
      </w:r>
      <w:r w:rsidR="00000000" w:rsidRPr="00300121">
        <w:rPr>
          <w:rFonts w:ascii="Aptos" w:hAnsi="Aptos"/>
        </w:rPr>
        <w:t xml:space="preserve"> annual consumption, and the required number of profiles is drawn </w:t>
      </w:r>
      <w:r w:rsidR="00B406F9">
        <w:rPr>
          <w:rFonts w:ascii="Aptos" w:hAnsi="Aptos"/>
        </w:rPr>
        <w:t>randomly</w:t>
      </w:r>
      <w:r w:rsidR="00000000" w:rsidRPr="00300121">
        <w:rPr>
          <w:rFonts w:ascii="Aptos" w:hAnsi="Aptos"/>
        </w:rPr>
        <w:t xml:space="preserve"> </w:t>
      </w:r>
      <w:r w:rsidR="00B406F9">
        <w:rPr>
          <w:rFonts w:ascii="Aptos" w:hAnsi="Aptos"/>
        </w:rPr>
        <w:t>according to its population share</w:t>
      </w:r>
      <w:r w:rsidR="00000000" w:rsidRPr="00300121">
        <w:rPr>
          <w:rFonts w:ascii="Aptos" w:hAnsi="Aptos"/>
        </w:rPr>
        <w:t xml:space="preserve"> from each bin</w:t>
      </w:r>
      <w:r w:rsidR="00B406F9">
        <w:rPr>
          <w:rFonts w:ascii="Aptos" w:hAnsi="Aptos"/>
        </w:rPr>
        <w:t xml:space="preserve">. A random seed was set </w:t>
      </w:r>
      <w:r w:rsidR="00000000" w:rsidRPr="00300121">
        <w:rPr>
          <w:rFonts w:ascii="Aptos" w:hAnsi="Aptos"/>
        </w:rPr>
        <w:t xml:space="preserve">(seed = 42) to ensure full reproducibility </w:t>
      </w:r>
      <w:r w:rsidR="00000000" w:rsidRPr="00300121">
        <w:rPr>
          <w:rFonts w:ascii="Aptos" w:hAnsi="Aptos"/>
          <w:i/>
          <w:iCs/>
          <w:color w:val="1F4E79"/>
        </w:rPr>
        <w:t>[</w:t>
      </w:r>
      <w:r w:rsidR="00000000" w:rsidRPr="00AF733D">
        <w:rPr>
          <w:rFonts w:ascii="Aptos" w:hAnsi="Aptos"/>
          <w:i/>
          <w:iCs/>
          <w:color w:val="1F4E79"/>
          <w:highlight w:val="yellow"/>
        </w:rPr>
        <w:t>Peng, 2011</w:t>
      </w:r>
      <w:r w:rsidR="00000000" w:rsidRPr="00300121">
        <w:rPr>
          <w:rFonts w:ascii="Aptos" w:hAnsi="Aptos"/>
          <w:i/>
          <w:iCs/>
          <w:color w:val="1F4E79"/>
        </w:rPr>
        <w:t>]</w:t>
      </w:r>
      <w:r w:rsidR="00000000" w:rsidRPr="00300121">
        <w:rPr>
          <w:rFonts w:ascii="Aptos" w:hAnsi="Aptos"/>
        </w:rPr>
        <w:t xml:space="preserve">. </w:t>
      </w:r>
      <w:r w:rsidR="00B406F9">
        <w:rPr>
          <w:rFonts w:ascii="Aptos" w:hAnsi="Aptos"/>
        </w:rPr>
        <w:t>Data</w:t>
      </w:r>
      <w:r w:rsidR="00000000" w:rsidRPr="00300121">
        <w:rPr>
          <w:rFonts w:ascii="Aptos" w:hAnsi="Aptos"/>
        </w:rPr>
        <w:t xml:space="preserve"> gaps of up to six consecutive hours are </w:t>
      </w:r>
      <w:r w:rsidR="00B406F9">
        <w:rPr>
          <w:rFonts w:ascii="Aptos" w:hAnsi="Aptos"/>
        </w:rPr>
        <w:t>filled</w:t>
      </w:r>
      <w:r w:rsidR="00000000" w:rsidRPr="00300121">
        <w:rPr>
          <w:rFonts w:ascii="Aptos" w:hAnsi="Aptos"/>
        </w:rPr>
        <w:t xml:space="preserve"> by linear interpolation, corresponding to half a day, a period over which linear interpolation remains physically plausible</w:t>
      </w:r>
      <w:r w:rsidR="00AF733D">
        <w:rPr>
          <w:rFonts w:ascii="Aptos" w:hAnsi="Aptos"/>
        </w:rPr>
        <w:t xml:space="preserve"> (</w:t>
      </w:r>
      <w:r w:rsidR="00AF733D" w:rsidRPr="00AF733D">
        <w:rPr>
          <w:rFonts w:ascii="Aptos" w:hAnsi="Aptos"/>
          <w:highlight w:val="yellow"/>
        </w:rPr>
        <w:t>reference ?!</w:t>
      </w:r>
      <w:r w:rsidR="00AF733D">
        <w:rPr>
          <w:rFonts w:ascii="Aptos" w:hAnsi="Aptos"/>
        </w:rPr>
        <w:t>)</w:t>
      </w:r>
      <w:r w:rsidR="00B406F9">
        <w:rPr>
          <w:rFonts w:ascii="Aptos" w:hAnsi="Aptos"/>
        </w:rPr>
        <w:t>. L</w:t>
      </w:r>
      <w:r w:rsidR="00000000" w:rsidRPr="00300121">
        <w:rPr>
          <w:rFonts w:ascii="Aptos" w:hAnsi="Aptos"/>
        </w:rPr>
        <w:t xml:space="preserve">onger outages are left as </w:t>
      </w:r>
      <w:proofErr w:type="spellStart"/>
      <w:r w:rsidR="00000000" w:rsidRPr="00300121">
        <w:rPr>
          <w:rFonts w:ascii="Aptos" w:hAnsi="Aptos"/>
        </w:rPr>
        <w:t>NaN</w:t>
      </w:r>
      <w:proofErr w:type="spellEnd"/>
      <w:r w:rsidR="00000000" w:rsidRPr="00300121">
        <w:rPr>
          <w:rFonts w:ascii="Aptos" w:hAnsi="Aptos"/>
        </w:rPr>
        <w:t>.</w:t>
      </w:r>
    </w:p>
    <w:p w14:paraId="2479034B" w14:textId="306A99FA" w:rsidR="00F02DD2" w:rsidRPr="00300121" w:rsidRDefault="00000000" w:rsidP="00300121">
      <w:pPr>
        <w:spacing w:after="200" w:line="312" w:lineRule="auto"/>
        <w:jc w:val="both"/>
        <w:rPr>
          <w:rFonts w:ascii="Aptos" w:hAnsi="Aptos"/>
        </w:rPr>
      </w:pPr>
      <w:r w:rsidRPr="00300121">
        <w:rPr>
          <w:rFonts w:ascii="Aptos" w:hAnsi="Aptos"/>
        </w:rPr>
        <w:lastRenderedPageBreak/>
        <w:t xml:space="preserve">The representativeness of the resulting sample is validated against the full population along three dimensions: the building-type composition, the quantile distribution of annual consumption (P10–P90), and a two-sample Kolmogorov–Smirnov test on annual consumption </w:t>
      </w:r>
      <w:r w:rsidRPr="00300121">
        <w:rPr>
          <w:rFonts w:ascii="Aptos" w:hAnsi="Aptos"/>
          <w:i/>
          <w:iCs/>
          <w:color w:val="1F4E79"/>
        </w:rPr>
        <w:t>[</w:t>
      </w:r>
      <w:r w:rsidRPr="00AF733D">
        <w:rPr>
          <w:rFonts w:ascii="Aptos" w:hAnsi="Aptos"/>
          <w:i/>
          <w:iCs/>
          <w:color w:val="1F4E79"/>
          <w:highlight w:val="yellow"/>
        </w:rPr>
        <w:t>Massey, 1951</w:t>
      </w:r>
      <w:r w:rsidRPr="00300121">
        <w:rPr>
          <w:rFonts w:ascii="Aptos" w:hAnsi="Aptos"/>
          <w:i/>
          <w:iCs/>
          <w:color w:val="1F4E79"/>
        </w:rPr>
        <w:t>]</w:t>
      </w:r>
      <w:r w:rsidRPr="00300121">
        <w:rPr>
          <w:rFonts w:ascii="Aptos" w:hAnsi="Aptos"/>
        </w:rPr>
        <w:t xml:space="preserve">. The null hypothesis states that sample and population are drawn from the same underlying distribution of </w:t>
      </w:r>
      <w:r w:rsidR="00B406F9">
        <w:rPr>
          <w:rFonts w:ascii="Aptos" w:hAnsi="Aptos"/>
        </w:rPr>
        <w:t>annual consumption. The</w:t>
      </w:r>
      <w:r w:rsidRPr="00300121">
        <w:rPr>
          <w:rFonts w:ascii="Aptos" w:hAnsi="Aptos"/>
        </w:rPr>
        <w:t xml:space="preserve"> test returned p = 0.99, </w:t>
      </w:r>
      <w:r w:rsidR="00B406F9">
        <w:rPr>
          <w:rFonts w:ascii="Aptos" w:hAnsi="Aptos"/>
        </w:rPr>
        <w:t>significantly</w:t>
      </w:r>
      <w:r w:rsidRPr="00300121">
        <w:rPr>
          <w:rFonts w:ascii="Aptos" w:hAnsi="Aptos"/>
        </w:rPr>
        <w:t xml:space="preserve"> </w:t>
      </w:r>
      <w:r w:rsidR="00B406F9">
        <w:rPr>
          <w:rFonts w:ascii="Aptos" w:hAnsi="Aptos"/>
        </w:rPr>
        <w:t>higher than</w:t>
      </w:r>
      <w:r w:rsidRPr="00300121">
        <w:rPr>
          <w:rFonts w:ascii="Aptos" w:hAnsi="Aptos"/>
        </w:rPr>
        <w:t xml:space="preserve"> the conventional 0.05 threshold, indicating no significant distributional difference. In this context, “representative” refers to distributional similarity in building type and consumption, not to a claim of statistical inference to a wider population of DH-connected buildings. The 267 selected profiles are subsequently aggregated into a load time series,</w:t>
      </w:r>
      <w:r w:rsidR="00B406F9">
        <w:rPr>
          <w:rFonts w:ascii="Aptos" w:hAnsi="Aptos"/>
        </w:rPr>
        <w:t xml:space="preserve"> </w:t>
      </w:r>
      <w:r w:rsidRPr="00300121">
        <w:rPr>
          <w:rFonts w:ascii="Aptos" w:hAnsi="Aptos"/>
        </w:rPr>
        <w:t xml:space="preserve">forming the basis for the capacity-sizing decisions made in the </w:t>
      </w:r>
      <w:r w:rsidR="00AF733D" w:rsidRPr="00300121">
        <w:rPr>
          <w:rFonts w:ascii="Aptos" w:hAnsi="Aptos"/>
        </w:rPr>
        <w:t>optimization</w:t>
      </w:r>
      <w:r w:rsidRPr="00300121">
        <w:rPr>
          <w:rFonts w:ascii="Aptos" w:hAnsi="Aptos"/>
        </w:rPr>
        <w:t xml:space="preserve"> model </w:t>
      </w:r>
      <w:r w:rsidRPr="00300121">
        <w:rPr>
          <w:rFonts w:ascii="Aptos" w:hAnsi="Aptos"/>
          <w:i/>
          <w:iCs/>
          <w:color w:val="1F4E79"/>
        </w:rPr>
        <w:t>[</w:t>
      </w:r>
      <w:proofErr w:type="spellStart"/>
      <w:r w:rsidRPr="00AF733D">
        <w:rPr>
          <w:rFonts w:ascii="Aptos" w:hAnsi="Aptos"/>
          <w:i/>
          <w:iCs/>
          <w:color w:val="1F4E79"/>
          <w:highlight w:val="yellow"/>
        </w:rPr>
        <w:t>Stoft</w:t>
      </w:r>
      <w:proofErr w:type="spellEnd"/>
      <w:r w:rsidRPr="00AF733D">
        <w:rPr>
          <w:rFonts w:ascii="Aptos" w:hAnsi="Aptos"/>
          <w:i/>
          <w:iCs/>
          <w:color w:val="1F4E79"/>
          <w:highlight w:val="yellow"/>
        </w:rPr>
        <w:t xml:space="preserve">, </w:t>
      </w:r>
      <w:commentRangeStart w:id="2"/>
      <w:r w:rsidRPr="00AF733D">
        <w:rPr>
          <w:rFonts w:ascii="Aptos" w:hAnsi="Aptos"/>
          <w:i/>
          <w:iCs/>
          <w:color w:val="1F4E79"/>
          <w:highlight w:val="yellow"/>
        </w:rPr>
        <w:t>2002</w:t>
      </w:r>
      <w:commentRangeEnd w:id="2"/>
      <w:r w:rsidR="00AF733D">
        <w:rPr>
          <w:rStyle w:val="CommentReference"/>
        </w:rPr>
        <w:commentReference w:id="2"/>
      </w:r>
      <w:r w:rsidRPr="00300121">
        <w:rPr>
          <w:rFonts w:ascii="Aptos" w:hAnsi="Aptos"/>
          <w:i/>
          <w:iCs/>
          <w:color w:val="1F4E79"/>
        </w:rPr>
        <w:t>]</w:t>
      </w:r>
      <w:r w:rsidRPr="00300121">
        <w:rPr>
          <w:rFonts w:ascii="Aptos" w:hAnsi="Aptos"/>
        </w:rPr>
        <w:t>.</w:t>
      </w:r>
    </w:p>
    <w:p w14:paraId="275B9C05" w14:textId="77777777" w:rsidR="00F02DD2" w:rsidRPr="00300121" w:rsidRDefault="00000000" w:rsidP="00300121">
      <w:pPr>
        <w:pStyle w:val="Heading2"/>
        <w:spacing w:line="312" w:lineRule="auto"/>
        <w:jc w:val="both"/>
        <w:rPr>
          <w:rFonts w:ascii="Aptos" w:hAnsi="Aptos"/>
        </w:rPr>
      </w:pPr>
      <w:proofErr w:type="gramStart"/>
      <w:r w:rsidRPr="00300121">
        <w:rPr>
          <w:rFonts w:ascii="Aptos" w:hAnsi="Aptos"/>
        </w:rPr>
        <w:t>3.3  Temperature</w:t>
      </w:r>
      <w:proofErr w:type="gramEnd"/>
      <w:r w:rsidRPr="00300121">
        <w:rPr>
          <w:rFonts w:ascii="Aptos" w:hAnsi="Aptos"/>
        </w:rPr>
        <w:t xml:space="preserve"> Comparison: Aalborg vs. </w:t>
      </w:r>
      <w:proofErr w:type="spellStart"/>
      <w:r w:rsidRPr="00300121">
        <w:rPr>
          <w:rFonts w:ascii="Aptos" w:hAnsi="Aptos"/>
        </w:rPr>
        <w:t>Jerrishoe</w:t>
      </w:r>
      <w:proofErr w:type="spellEnd"/>
    </w:p>
    <w:p w14:paraId="007D3A6C" w14:textId="1B3C4018" w:rsidR="00F02DD2" w:rsidRPr="00300121" w:rsidRDefault="00000000" w:rsidP="00300121">
      <w:pPr>
        <w:spacing w:after="200" w:line="312" w:lineRule="auto"/>
        <w:jc w:val="both"/>
        <w:rPr>
          <w:rFonts w:ascii="Aptos" w:hAnsi="Aptos"/>
        </w:rPr>
      </w:pPr>
      <w:r w:rsidRPr="00300121">
        <w:rPr>
          <w:rFonts w:ascii="Aptos" w:hAnsi="Aptos"/>
        </w:rPr>
        <w:t xml:space="preserve">To assess whether heat load profiles measured in Aalborg can be transferred to the project location, </w:t>
      </w:r>
      <w:proofErr w:type="spellStart"/>
      <w:r w:rsidRPr="00300121">
        <w:rPr>
          <w:rFonts w:ascii="Aptos" w:hAnsi="Aptos"/>
        </w:rPr>
        <w:t>Jerrishoe</w:t>
      </w:r>
      <w:proofErr w:type="spellEnd"/>
      <w:r w:rsidRPr="00300121">
        <w:rPr>
          <w:rFonts w:ascii="Aptos" w:hAnsi="Aptos"/>
        </w:rPr>
        <w:t xml:space="preserve">, weather conditions in both cities were compared using ERA5 reanalysis data for temperature and solar radiation </w:t>
      </w:r>
      <w:r w:rsidRPr="00300121">
        <w:rPr>
          <w:rFonts w:ascii="Aptos" w:hAnsi="Aptos"/>
          <w:i/>
          <w:iCs/>
          <w:color w:val="1F4E79"/>
        </w:rPr>
        <w:t>[</w:t>
      </w:r>
      <w:proofErr w:type="spellStart"/>
      <w:r w:rsidRPr="00300121">
        <w:rPr>
          <w:rFonts w:ascii="Aptos" w:hAnsi="Aptos"/>
          <w:i/>
          <w:iCs/>
          <w:color w:val="1F4E79"/>
        </w:rPr>
        <w:t>Hersbach</w:t>
      </w:r>
      <w:proofErr w:type="spellEnd"/>
      <w:r w:rsidRPr="00300121">
        <w:rPr>
          <w:rFonts w:ascii="Aptos" w:hAnsi="Aptos"/>
          <w:i/>
          <w:iCs/>
          <w:color w:val="1F4E79"/>
        </w:rPr>
        <w:t xml:space="preserve"> et al., 2020]</w:t>
      </w:r>
      <w:r w:rsidRPr="00300121">
        <w:rPr>
          <w:rFonts w:ascii="Aptos" w:hAnsi="Aptos"/>
        </w:rPr>
        <w:t xml:space="preserve">. Both the moving-average time series and the temperature duration curves show close alignment between the two locations. This is confirmed quantitatively: </w:t>
      </w:r>
      <w:proofErr w:type="spellStart"/>
      <w:r w:rsidRPr="00300121">
        <w:rPr>
          <w:rFonts w:ascii="Aptos" w:hAnsi="Aptos"/>
        </w:rPr>
        <w:t>Jerrishoe</w:t>
      </w:r>
      <w:proofErr w:type="spellEnd"/>
      <w:r w:rsidRPr="00300121">
        <w:rPr>
          <w:rFonts w:ascii="Aptos" w:hAnsi="Aptos"/>
        </w:rPr>
        <w:t xml:space="preserve"> shows a mean annual temperature of 9.9°C versus 9.2°C in Aalborg, with heating degree days of 1,342.5 and 1,491.7 respectively </w:t>
      </w:r>
      <w:r w:rsidRPr="00300121">
        <w:rPr>
          <w:rFonts w:ascii="Aptos" w:hAnsi="Aptos"/>
          <w:i/>
          <w:iCs/>
          <w:color w:val="1F4E79"/>
        </w:rPr>
        <w:t>[</w:t>
      </w:r>
      <w:r w:rsidRPr="00AF733D">
        <w:rPr>
          <w:rFonts w:ascii="Aptos" w:hAnsi="Aptos"/>
          <w:i/>
          <w:iCs/>
          <w:color w:val="1F4E79"/>
          <w:highlight w:val="yellow"/>
        </w:rPr>
        <w:t>ISO 15927-6, 2007</w:t>
      </w:r>
      <w:r w:rsidRPr="00300121">
        <w:rPr>
          <w:rFonts w:ascii="Aptos" w:hAnsi="Aptos"/>
          <w:i/>
          <w:iCs/>
          <w:color w:val="1F4E79"/>
        </w:rPr>
        <w:t>]</w:t>
      </w:r>
      <w:r w:rsidR="00B406F9">
        <w:rPr>
          <w:rFonts w:ascii="Aptos" w:hAnsi="Aptos"/>
        </w:rPr>
        <w:t xml:space="preserve">. That result states that </w:t>
      </w:r>
      <w:r w:rsidRPr="00300121">
        <w:rPr>
          <w:rFonts w:ascii="Aptos" w:hAnsi="Aptos"/>
        </w:rPr>
        <w:t xml:space="preserve">Aalborg is roughly 11.1% colder </w:t>
      </w:r>
      <w:r w:rsidR="00B406F9">
        <w:rPr>
          <w:rFonts w:ascii="Aptos" w:hAnsi="Aptos"/>
        </w:rPr>
        <w:t xml:space="preserve">than </w:t>
      </w:r>
      <w:proofErr w:type="spellStart"/>
      <w:r w:rsidR="00B406F9">
        <w:rPr>
          <w:rFonts w:ascii="Aptos" w:hAnsi="Aptos"/>
        </w:rPr>
        <w:t>Jerrishoe</w:t>
      </w:r>
      <w:proofErr w:type="spellEnd"/>
      <w:r w:rsidRPr="00300121">
        <w:rPr>
          <w:rFonts w:ascii="Aptos" w:hAnsi="Aptos"/>
        </w:rPr>
        <w:t xml:space="preserve">. Correspondingly, hours below 0°C are more frequent in Aalborg (487 vs. 370 </w:t>
      </w:r>
      <w:commentRangeStart w:id="3"/>
      <w:r w:rsidRPr="00300121">
        <w:rPr>
          <w:rFonts w:ascii="Aptos" w:hAnsi="Aptos"/>
        </w:rPr>
        <w:t>hours</w:t>
      </w:r>
      <w:commentRangeEnd w:id="3"/>
      <w:r w:rsidR="00AF733D">
        <w:rPr>
          <w:rStyle w:val="CommentReference"/>
        </w:rPr>
        <w:commentReference w:id="3"/>
      </w:r>
      <w:r w:rsidRPr="00300121">
        <w:rPr>
          <w:rFonts w:ascii="Aptos" w:hAnsi="Aptos"/>
        </w:rPr>
        <w:t>).</w:t>
      </w:r>
    </w:p>
    <w:p w14:paraId="5F36E31A" w14:textId="05547866" w:rsidR="00F02DD2" w:rsidRPr="00300121" w:rsidRDefault="00000000" w:rsidP="00300121">
      <w:pPr>
        <w:spacing w:after="200" w:line="312" w:lineRule="auto"/>
        <w:jc w:val="both"/>
        <w:rPr>
          <w:rFonts w:ascii="Aptos" w:hAnsi="Aptos"/>
        </w:rPr>
      </w:pPr>
      <w:r w:rsidRPr="00300121">
        <w:rPr>
          <w:rFonts w:ascii="Aptos" w:hAnsi="Aptos"/>
        </w:rPr>
        <w:t xml:space="preserve">Because heat demand is temperature-driven, this implies that heat load profiles transferred from Aalborg to </w:t>
      </w:r>
      <w:proofErr w:type="spellStart"/>
      <w:r w:rsidRPr="00300121">
        <w:rPr>
          <w:rFonts w:ascii="Aptos" w:hAnsi="Aptos"/>
        </w:rPr>
        <w:t>Jerrishoe</w:t>
      </w:r>
      <w:proofErr w:type="spellEnd"/>
      <w:r w:rsidRPr="00300121">
        <w:rPr>
          <w:rFonts w:ascii="Aptos" w:hAnsi="Aptos"/>
        </w:rPr>
        <w:t xml:space="preserve"> </w:t>
      </w:r>
      <w:r w:rsidR="00AF733D">
        <w:rPr>
          <w:rFonts w:ascii="Aptos" w:hAnsi="Aptos"/>
        </w:rPr>
        <w:t xml:space="preserve">might </w:t>
      </w:r>
      <w:r w:rsidRPr="00300121">
        <w:rPr>
          <w:rFonts w:ascii="Aptos" w:hAnsi="Aptos"/>
        </w:rPr>
        <w:t>slightly overestimate demand, leading to a conservative rather than optimistic system dimensioning. As solar radiation, the key driver of PV yield, is comparably close between the two cities (annual full-load hours of 1,095 vs. 1,055 h/</w:t>
      </w:r>
      <w:proofErr w:type="spellStart"/>
      <w:r w:rsidRPr="00300121">
        <w:rPr>
          <w:rFonts w:ascii="Aptos" w:hAnsi="Aptos"/>
        </w:rPr>
        <w:t>kWp</w:t>
      </w:r>
      <w:proofErr w:type="spellEnd"/>
      <w:r w:rsidRPr="00300121">
        <w:rPr>
          <w:rFonts w:ascii="Aptos" w:hAnsi="Aptos"/>
        </w:rPr>
        <w:t>)</w:t>
      </w:r>
      <w:r w:rsidR="00D3174E">
        <w:rPr>
          <w:rFonts w:ascii="Aptos" w:hAnsi="Aptos"/>
        </w:rPr>
        <w:t xml:space="preserve">. This </w:t>
      </w:r>
      <w:r w:rsidRPr="00300121">
        <w:rPr>
          <w:rFonts w:ascii="Aptos" w:hAnsi="Aptos"/>
        </w:rPr>
        <w:t xml:space="preserve">additionally supports the joint use of Aalborg-based heat demand and </w:t>
      </w:r>
      <w:proofErr w:type="spellStart"/>
      <w:r w:rsidRPr="00300121">
        <w:rPr>
          <w:rFonts w:ascii="Aptos" w:hAnsi="Aptos"/>
        </w:rPr>
        <w:t>Jerrishoe</w:t>
      </w:r>
      <w:proofErr w:type="spellEnd"/>
      <w:r w:rsidRPr="00300121">
        <w:rPr>
          <w:rFonts w:ascii="Aptos" w:hAnsi="Aptos"/>
        </w:rPr>
        <w:t>-based PV</w:t>
      </w:r>
      <w:r w:rsidR="00AF733D">
        <w:rPr>
          <w:rFonts w:ascii="Aptos" w:hAnsi="Aptos"/>
        </w:rPr>
        <w:t xml:space="preserve"> and w</w:t>
      </w:r>
      <w:r w:rsidRPr="00300121">
        <w:rPr>
          <w:rFonts w:ascii="Aptos" w:hAnsi="Aptos"/>
        </w:rPr>
        <w:t xml:space="preserve">eather data, rather than relying on temperature similarity </w:t>
      </w:r>
      <w:commentRangeStart w:id="4"/>
      <w:r w:rsidRPr="00300121">
        <w:rPr>
          <w:rFonts w:ascii="Aptos" w:hAnsi="Aptos"/>
        </w:rPr>
        <w:t>alone</w:t>
      </w:r>
      <w:commentRangeEnd w:id="4"/>
      <w:r w:rsidR="00AF733D">
        <w:rPr>
          <w:rStyle w:val="CommentReference"/>
        </w:rPr>
        <w:commentReference w:id="4"/>
      </w:r>
      <w:r w:rsidRPr="00300121">
        <w:rPr>
          <w:rFonts w:ascii="Aptos" w:hAnsi="Aptos"/>
        </w:rPr>
        <w:t>.</w:t>
      </w:r>
    </w:p>
    <w:p w14:paraId="11CBE4EF" w14:textId="77777777" w:rsidR="00F02DD2" w:rsidRPr="00300121" w:rsidRDefault="00000000" w:rsidP="00300121">
      <w:pPr>
        <w:pStyle w:val="Heading2"/>
        <w:spacing w:line="312" w:lineRule="auto"/>
        <w:jc w:val="both"/>
        <w:rPr>
          <w:rFonts w:ascii="Aptos" w:hAnsi="Aptos"/>
        </w:rPr>
      </w:pPr>
      <w:proofErr w:type="gramStart"/>
      <w:r w:rsidRPr="00300121">
        <w:rPr>
          <w:rFonts w:ascii="Aptos" w:hAnsi="Aptos"/>
        </w:rPr>
        <w:t>3.4  Electricity</w:t>
      </w:r>
      <w:proofErr w:type="gramEnd"/>
      <w:r w:rsidRPr="00300121">
        <w:rPr>
          <w:rFonts w:ascii="Aptos" w:hAnsi="Aptos"/>
        </w:rPr>
        <w:t>, Gas, and PV Data</w:t>
      </w:r>
    </w:p>
    <w:p w14:paraId="561A5FB8" w14:textId="154FE8BB" w:rsidR="00F02DD2" w:rsidRPr="00300121" w:rsidRDefault="00000000" w:rsidP="00300121">
      <w:pPr>
        <w:pStyle w:val="Heading3"/>
        <w:spacing w:line="312" w:lineRule="auto"/>
        <w:jc w:val="both"/>
        <w:rPr>
          <w:rFonts w:ascii="Aptos" w:hAnsi="Aptos"/>
        </w:rPr>
      </w:pPr>
      <w:proofErr w:type="gramStart"/>
      <w:r w:rsidRPr="00300121">
        <w:rPr>
          <w:rFonts w:ascii="Aptos" w:hAnsi="Aptos"/>
        </w:rPr>
        <w:t xml:space="preserve">3.4.1  </w:t>
      </w:r>
      <w:r w:rsidR="00E5498E">
        <w:rPr>
          <w:rFonts w:ascii="Aptos" w:hAnsi="Aptos"/>
        </w:rPr>
        <w:t>Temperature</w:t>
      </w:r>
      <w:proofErr w:type="gramEnd"/>
      <w:r w:rsidR="00E5498E">
        <w:rPr>
          <w:rFonts w:ascii="Aptos" w:hAnsi="Aptos"/>
        </w:rPr>
        <w:t xml:space="preserve"> and </w:t>
      </w:r>
      <w:r w:rsidRPr="00300121">
        <w:rPr>
          <w:rFonts w:ascii="Aptos" w:hAnsi="Aptos"/>
        </w:rPr>
        <w:t>PV Generation Profile</w:t>
      </w:r>
    </w:p>
    <w:p w14:paraId="4CD6E6D7" w14:textId="06775DA7" w:rsidR="00F02DD2" w:rsidRPr="00300121" w:rsidRDefault="00000000" w:rsidP="00300121">
      <w:pPr>
        <w:spacing w:after="200" w:line="312" w:lineRule="auto"/>
        <w:jc w:val="both"/>
        <w:rPr>
          <w:rFonts w:ascii="Aptos" w:hAnsi="Aptos"/>
        </w:rPr>
      </w:pPr>
      <w:r w:rsidRPr="00300121">
        <w:rPr>
          <w:rFonts w:ascii="Aptos" w:hAnsi="Aptos"/>
        </w:rPr>
        <w:t xml:space="preserve">The PV generation profile used during </w:t>
      </w:r>
      <w:r w:rsidR="00922423">
        <w:rPr>
          <w:rFonts w:ascii="Aptos" w:hAnsi="Aptos"/>
        </w:rPr>
        <w:t>in an earlier</w:t>
      </w:r>
      <w:r w:rsidRPr="00300121">
        <w:rPr>
          <w:rFonts w:ascii="Aptos" w:hAnsi="Aptos"/>
        </w:rPr>
        <w:t xml:space="preserve"> stage of this project was obtained from </w:t>
      </w:r>
      <w:r w:rsidR="00AF733D">
        <w:rPr>
          <w:rFonts w:ascii="Aptos" w:hAnsi="Aptos"/>
        </w:rPr>
        <w:t>[</w:t>
      </w:r>
      <w:r w:rsidR="00AF733D" w:rsidRPr="00AF733D">
        <w:rPr>
          <w:rFonts w:ascii="Aptos" w:hAnsi="Aptos"/>
          <w:highlight w:val="yellow"/>
        </w:rPr>
        <w:t>https://www.renewables.ninja/</w:t>
      </w:r>
      <w:r w:rsidR="00AF733D">
        <w:rPr>
          <w:rFonts w:ascii="Aptos" w:hAnsi="Aptos"/>
        </w:rPr>
        <w:t>]</w:t>
      </w:r>
      <w:r w:rsidRPr="00300121">
        <w:rPr>
          <w:rFonts w:ascii="Aptos" w:hAnsi="Aptos"/>
        </w:rPr>
        <w:t xml:space="preserve">, a web portal that derives PV power time series from underlying reanalysis data. This source was replaced with a self-computed profile based on ERA5 reanalysis data, for </w:t>
      </w:r>
      <w:r w:rsidR="00922423">
        <w:rPr>
          <w:rFonts w:ascii="Aptos" w:hAnsi="Aptos"/>
        </w:rPr>
        <w:t>following</w:t>
      </w:r>
      <w:r w:rsidRPr="00300121">
        <w:rPr>
          <w:rFonts w:ascii="Aptos" w:hAnsi="Aptos"/>
        </w:rPr>
        <w:t xml:space="preserve"> reasons</w:t>
      </w:r>
      <w:r w:rsidR="00922423">
        <w:rPr>
          <w:rFonts w:ascii="Aptos" w:hAnsi="Aptos"/>
        </w:rPr>
        <w:t>:</w:t>
      </w:r>
      <w:r w:rsidRPr="00300121">
        <w:rPr>
          <w:rFonts w:ascii="Aptos" w:hAnsi="Aptos"/>
        </w:rPr>
        <w:t xml:space="preserve"> First, </w:t>
      </w:r>
      <w:proofErr w:type="spellStart"/>
      <w:proofErr w:type="gramStart"/>
      <w:r w:rsidRPr="00AF733D">
        <w:rPr>
          <w:rFonts w:ascii="Aptos" w:hAnsi="Aptos"/>
          <w:highlight w:val="yellow"/>
        </w:rPr>
        <w:t>renewables.ninja</w:t>
      </w:r>
      <w:proofErr w:type="spellEnd"/>
      <w:proofErr w:type="gramEnd"/>
      <w:r w:rsidRPr="00300121">
        <w:rPr>
          <w:rFonts w:ascii="Aptos" w:hAnsi="Aptos"/>
        </w:rPr>
        <w:t xml:space="preserve"> could only provide a historic time series for Flensburg, not the actual project location</w:t>
      </w:r>
      <w:r w:rsidR="00922423">
        <w:rPr>
          <w:rFonts w:ascii="Aptos" w:hAnsi="Aptos"/>
        </w:rPr>
        <w:t xml:space="preserve"> and</w:t>
      </w:r>
      <w:r w:rsidRPr="00300121">
        <w:rPr>
          <w:rFonts w:ascii="Aptos" w:hAnsi="Aptos"/>
        </w:rPr>
        <w:t xml:space="preserve"> offered very limited control over system assumptions such as module tilt, orientation, or module type. Second, the underlying reanalysis product and processing chain were not transparently documented, making the source unsuitable as a citable primary source. Third, switching to ERA5 allows temperature and radiation data for the PV yield and the heat-pump COP calculation to originate from a single, consistent, peer-reviewed source </w:t>
      </w:r>
      <w:r w:rsidRPr="00300121">
        <w:rPr>
          <w:rFonts w:ascii="Aptos" w:hAnsi="Aptos"/>
          <w:i/>
          <w:iCs/>
          <w:color w:val="1F4E79"/>
        </w:rPr>
        <w:t>[</w:t>
      </w:r>
      <w:proofErr w:type="spellStart"/>
      <w:r w:rsidRPr="00AF733D">
        <w:rPr>
          <w:rFonts w:ascii="Aptos" w:hAnsi="Aptos"/>
          <w:i/>
          <w:iCs/>
          <w:color w:val="1F4E79"/>
          <w:highlight w:val="yellow"/>
        </w:rPr>
        <w:t>Hersbach</w:t>
      </w:r>
      <w:proofErr w:type="spellEnd"/>
      <w:r w:rsidRPr="00AF733D">
        <w:rPr>
          <w:rFonts w:ascii="Aptos" w:hAnsi="Aptos"/>
          <w:i/>
          <w:iCs/>
          <w:color w:val="1F4E79"/>
          <w:highlight w:val="yellow"/>
        </w:rPr>
        <w:t xml:space="preserve"> et al., 2020</w:t>
      </w:r>
      <w:r w:rsidRPr="00300121">
        <w:rPr>
          <w:rFonts w:ascii="Aptos" w:hAnsi="Aptos"/>
          <w:i/>
          <w:iCs/>
          <w:color w:val="1F4E79"/>
        </w:rPr>
        <w:t>]</w:t>
      </w:r>
      <w:r w:rsidRPr="00300121">
        <w:rPr>
          <w:rFonts w:ascii="Aptos" w:hAnsi="Aptos"/>
        </w:rPr>
        <w:t>.</w:t>
      </w:r>
    </w:p>
    <w:p w14:paraId="6B62AD81" w14:textId="65C837FD" w:rsidR="00F02DD2" w:rsidRPr="00300121" w:rsidRDefault="00000000" w:rsidP="00300121">
      <w:pPr>
        <w:spacing w:after="200" w:line="312" w:lineRule="auto"/>
        <w:jc w:val="both"/>
        <w:rPr>
          <w:rFonts w:ascii="Aptos" w:hAnsi="Aptos"/>
        </w:rPr>
      </w:pPr>
      <w:r w:rsidRPr="00300121">
        <w:rPr>
          <w:rFonts w:ascii="Aptos" w:hAnsi="Aptos"/>
        </w:rPr>
        <w:t xml:space="preserve">ERA5 is the global atmospheric reanalysis product of the </w:t>
      </w:r>
      <w:r w:rsidR="00AF733D" w:rsidRPr="00AF733D">
        <w:rPr>
          <w:rFonts w:asciiTheme="minorHAnsi" w:hAnsiTheme="minorHAnsi" w:cs="Arial"/>
          <w:sz w:val="21"/>
          <w:szCs w:val="21"/>
          <w:shd w:val="clear" w:color="auto" w:fill="FFFFFF"/>
        </w:rPr>
        <w:t>European Centre for Medium-Range Weather Forecasts</w:t>
      </w:r>
      <w:r w:rsidR="00AF733D">
        <w:rPr>
          <w:rFonts w:ascii="Aptos" w:hAnsi="Aptos"/>
        </w:rPr>
        <w:t xml:space="preserve"> (</w:t>
      </w:r>
      <w:r w:rsidRPr="00300121">
        <w:rPr>
          <w:rFonts w:ascii="Aptos" w:hAnsi="Aptos"/>
        </w:rPr>
        <w:t>ECMWF</w:t>
      </w:r>
      <w:r w:rsidR="00AF733D">
        <w:rPr>
          <w:rFonts w:ascii="Aptos" w:hAnsi="Aptos"/>
        </w:rPr>
        <w:t>)</w:t>
      </w:r>
      <w:r w:rsidRPr="00300121">
        <w:rPr>
          <w:rFonts w:ascii="Aptos" w:hAnsi="Aptos"/>
        </w:rPr>
        <w:t>, distributed via the Copernicus Climate Data Store</w:t>
      </w:r>
      <w:r w:rsidR="00003BA1">
        <w:rPr>
          <w:rFonts w:ascii="Aptos" w:hAnsi="Aptos"/>
        </w:rPr>
        <w:t>. It comes with</w:t>
      </w:r>
      <w:r w:rsidRPr="00300121">
        <w:rPr>
          <w:rFonts w:ascii="Aptos" w:hAnsi="Aptos"/>
        </w:rPr>
        <w:t xml:space="preserve"> hourly resolution and 0.25° (~28 km) spatial resolution, </w:t>
      </w:r>
      <w:commentRangeStart w:id="5"/>
      <w:r w:rsidRPr="00300121">
        <w:rPr>
          <w:rFonts w:ascii="Aptos" w:hAnsi="Aptos"/>
        </w:rPr>
        <w:t xml:space="preserve">under a CC BY 4.0 </w:t>
      </w:r>
      <w:r w:rsidR="00AF733D" w:rsidRPr="00300121">
        <w:rPr>
          <w:rFonts w:ascii="Aptos" w:hAnsi="Aptos"/>
        </w:rPr>
        <w:t>license</w:t>
      </w:r>
      <w:r w:rsidRPr="00300121">
        <w:rPr>
          <w:rFonts w:ascii="Aptos" w:hAnsi="Aptos"/>
        </w:rPr>
        <w:t xml:space="preserve"> </w:t>
      </w:r>
      <w:commentRangeEnd w:id="5"/>
      <w:r w:rsidR="00003BA1">
        <w:rPr>
          <w:rStyle w:val="CommentReference"/>
        </w:rPr>
        <w:commentReference w:id="5"/>
      </w:r>
      <w:r w:rsidRPr="00300121">
        <w:rPr>
          <w:rFonts w:ascii="Aptos" w:hAnsi="Aptos"/>
          <w:i/>
          <w:iCs/>
          <w:color w:val="1F4E79"/>
        </w:rPr>
        <w:t>[</w:t>
      </w:r>
      <w:proofErr w:type="spellStart"/>
      <w:r w:rsidRPr="00AF733D">
        <w:rPr>
          <w:rFonts w:ascii="Aptos" w:hAnsi="Aptos"/>
          <w:i/>
          <w:iCs/>
          <w:color w:val="1F4E79"/>
          <w:highlight w:val="yellow"/>
        </w:rPr>
        <w:t>Hersbach</w:t>
      </w:r>
      <w:proofErr w:type="spellEnd"/>
      <w:r w:rsidRPr="00AF733D">
        <w:rPr>
          <w:rFonts w:ascii="Aptos" w:hAnsi="Aptos"/>
          <w:i/>
          <w:iCs/>
          <w:color w:val="1F4E79"/>
          <w:highlight w:val="yellow"/>
        </w:rPr>
        <w:t xml:space="preserve"> et al., 2020</w:t>
      </w:r>
      <w:r w:rsidRPr="00300121">
        <w:rPr>
          <w:rFonts w:ascii="Aptos" w:hAnsi="Aptos"/>
          <w:i/>
          <w:iCs/>
          <w:color w:val="1F4E79"/>
        </w:rPr>
        <w:t>]</w:t>
      </w:r>
      <w:r w:rsidRPr="00300121">
        <w:rPr>
          <w:rFonts w:ascii="Aptos" w:hAnsi="Aptos"/>
        </w:rPr>
        <w:t xml:space="preserve">. Data were extracted for the grid point nearest to </w:t>
      </w:r>
      <w:proofErr w:type="spellStart"/>
      <w:r w:rsidRPr="00300121">
        <w:rPr>
          <w:rFonts w:ascii="Aptos" w:hAnsi="Aptos"/>
        </w:rPr>
        <w:t>Jerrishoe</w:t>
      </w:r>
      <w:proofErr w:type="spellEnd"/>
      <w:r w:rsidRPr="00300121">
        <w:rPr>
          <w:rFonts w:ascii="Aptos" w:hAnsi="Aptos"/>
        </w:rPr>
        <w:t xml:space="preserve"> (54.75°N, 9.25°E; ~13 km from the target coordinates) for the full year 2019</w:t>
      </w:r>
      <w:r w:rsidR="00003BA1">
        <w:rPr>
          <w:rFonts w:ascii="Aptos" w:hAnsi="Aptos"/>
        </w:rPr>
        <w:t xml:space="preserve">. It resulted in </w:t>
      </w:r>
      <w:r w:rsidRPr="00300121">
        <w:rPr>
          <w:rFonts w:ascii="Aptos" w:hAnsi="Aptos"/>
        </w:rPr>
        <w:t xml:space="preserve">8,760 hourly values of ambient temperature, global, direct and diffuse radiation, and wind speed. Direct normal irradiance and PV output are computed physically using </w:t>
      </w:r>
      <w:proofErr w:type="spellStart"/>
      <w:r w:rsidRPr="00300121">
        <w:rPr>
          <w:rFonts w:ascii="Aptos" w:hAnsi="Aptos"/>
        </w:rPr>
        <w:t>pvlib</w:t>
      </w:r>
      <w:proofErr w:type="spellEnd"/>
      <w:r w:rsidRPr="00300121">
        <w:rPr>
          <w:rFonts w:ascii="Aptos" w:hAnsi="Aptos"/>
        </w:rPr>
        <w:t xml:space="preserve"> </w:t>
      </w:r>
      <w:r w:rsidRPr="00300121">
        <w:rPr>
          <w:rFonts w:ascii="Aptos" w:hAnsi="Aptos"/>
        </w:rPr>
        <w:lastRenderedPageBreak/>
        <w:t>from module geometry (35° tilt, south-facing) rather than statistically estimated</w:t>
      </w:r>
      <w:r w:rsidR="009B3DEA">
        <w:rPr>
          <w:rFonts w:ascii="Aptos" w:hAnsi="Aptos"/>
        </w:rPr>
        <w:t>. Further</w:t>
      </w:r>
      <w:r w:rsidRPr="00300121">
        <w:rPr>
          <w:rFonts w:ascii="Aptos" w:hAnsi="Aptos"/>
        </w:rPr>
        <w:t xml:space="preserve"> a Carnot-based, temperature-dependent COP is derived for the heat pump. The resulting annual PV yield for </w:t>
      </w:r>
      <w:proofErr w:type="spellStart"/>
      <w:r w:rsidRPr="00300121">
        <w:rPr>
          <w:rFonts w:ascii="Aptos" w:hAnsi="Aptos"/>
        </w:rPr>
        <w:t>Jerrishoe</w:t>
      </w:r>
      <w:proofErr w:type="spellEnd"/>
      <w:r w:rsidRPr="00300121">
        <w:rPr>
          <w:rFonts w:ascii="Aptos" w:hAnsi="Aptos"/>
        </w:rPr>
        <w:t xml:space="preserve"> (~1,055 kWh/</w:t>
      </w:r>
      <w:proofErr w:type="spellStart"/>
      <w:r w:rsidRPr="00300121">
        <w:rPr>
          <w:rFonts w:ascii="Aptos" w:hAnsi="Aptos"/>
        </w:rPr>
        <w:t>kWp</w:t>
      </w:r>
      <w:proofErr w:type="spellEnd"/>
      <w:r w:rsidRPr="00300121">
        <w:rPr>
          <w:rFonts w:ascii="Aptos" w:hAnsi="Aptos"/>
        </w:rPr>
        <w:t xml:space="preserve">) is consistent with the comparison in </w:t>
      </w:r>
      <w:r w:rsidRPr="009B3DEA">
        <w:rPr>
          <w:rFonts w:ascii="Aptos" w:hAnsi="Aptos"/>
          <w:highlight w:val="yellow"/>
        </w:rPr>
        <w:t>Section 3.3</w:t>
      </w:r>
      <w:r w:rsidRPr="00300121">
        <w:rPr>
          <w:rFonts w:ascii="Aptos" w:hAnsi="Aptos"/>
        </w:rPr>
        <w:t>. Relative to SARAH2, a satellite-based product offering higher spatial resolution for solar radiation, ERA5 was deliberately preferred to ensure internal consistency between temperature and radiation within a single source, at the cost of some accuracy in radiation estimates.</w:t>
      </w:r>
    </w:p>
    <w:p w14:paraId="43A7212E" w14:textId="77777777" w:rsidR="00F02DD2" w:rsidRPr="00300121" w:rsidRDefault="00000000" w:rsidP="00300121">
      <w:pPr>
        <w:spacing w:after="200" w:line="312" w:lineRule="auto"/>
        <w:jc w:val="both"/>
        <w:rPr>
          <w:rFonts w:ascii="Aptos" w:hAnsi="Aptos"/>
        </w:rPr>
      </w:pPr>
      <w:commentRangeStart w:id="6"/>
      <w:r w:rsidRPr="00300121">
        <w:rPr>
          <w:rFonts w:ascii="Aptos" w:hAnsi="Aptos"/>
        </w:rPr>
        <w:t xml:space="preserve">At the time of writing, the ERA5-based dataset and the resulting dynamic COP are fully prepared but not yet integrated into the </w:t>
      </w:r>
      <w:proofErr w:type="spellStart"/>
      <w:r w:rsidRPr="00300121">
        <w:rPr>
          <w:rFonts w:ascii="Aptos" w:hAnsi="Aptos"/>
        </w:rPr>
        <w:t>optimisation</w:t>
      </w:r>
      <w:proofErr w:type="spellEnd"/>
      <w:r w:rsidRPr="00300121">
        <w:rPr>
          <w:rFonts w:ascii="Aptos" w:hAnsi="Aptos"/>
        </w:rPr>
        <w:t xml:space="preserve"> model, which currently still runs on the previous data sources and a static COP; the distinction between “prepared” and “actively used” is maintained until integration is completed. A comparison run confirms robustness: switching from </w:t>
      </w:r>
      <w:proofErr w:type="spellStart"/>
      <w:proofErr w:type="gramStart"/>
      <w:r w:rsidRPr="00300121">
        <w:rPr>
          <w:rFonts w:ascii="Aptos" w:hAnsi="Aptos"/>
        </w:rPr>
        <w:t>renewables.ninja</w:t>
      </w:r>
      <w:proofErr w:type="spellEnd"/>
      <w:proofErr w:type="gramEnd"/>
      <w:r w:rsidRPr="00300121">
        <w:rPr>
          <w:rFonts w:ascii="Aptos" w:hAnsi="Aptos"/>
        </w:rPr>
        <w:t xml:space="preserve"> to ERA5 leaves the </w:t>
      </w:r>
      <w:proofErr w:type="spellStart"/>
      <w:r w:rsidRPr="00300121">
        <w:rPr>
          <w:rFonts w:ascii="Aptos" w:hAnsi="Aptos"/>
        </w:rPr>
        <w:t>levelised</w:t>
      </w:r>
      <w:proofErr w:type="spellEnd"/>
      <w:r w:rsidRPr="00300121">
        <w:rPr>
          <w:rFonts w:ascii="Aptos" w:hAnsi="Aptos"/>
        </w:rPr>
        <w:t xml:space="preserve"> cost of heat unchanged (339.76 €/MWh) and shifts the heat-pump/gas-boiler split by less than 0.1 MWh, with PV full-load hours differing by only 0.4% (1,059 vs. 1,055 h).</w:t>
      </w:r>
      <w:commentRangeEnd w:id="6"/>
      <w:r w:rsidR="009B3DEA">
        <w:rPr>
          <w:rStyle w:val="CommentReference"/>
        </w:rPr>
        <w:commentReference w:id="6"/>
      </w:r>
    </w:p>
    <w:p w14:paraId="7D7CFFE5" w14:textId="77777777" w:rsidR="00F02DD2" w:rsidRDefault="00000000" w:rsidP="00300121">
      <w:pPr>
        <w:pStyle w:val="Heading3"/>
        <w:spacing w:line="312" w:lineRule="auto"/>
        <w:jc w:val="both"/>
        <w:rPr>
          <w:rFonts w:ascii="Aptos" w:hAnsi="Aptos"/>
        </w:rPr>
      </w:pPr>
      <w:proofErr w:type="gramStart"/>
      <w:r w:rsidRPr="00300121">
        <w:rPr>
          <w:rFonts w:ascii="Aptos" w:hAnsi="Aptos"/>
        </w:rPr>
        <w:t>3.4.2  Electricity</w:t>
      </w:r>
      <w:proofErr w:type="gramEnd"/>
      <w:r w:rsidRPr="00300121">
        <w:rPr>
          <w:rFonts w:ascii="Aptos" w:hAnsi="Aptos"/>
        </w:rPr>
        <w:t xml:space="preserve"> and Gas </w:t>
      </w:r>
      <w:commentRangeStart w:id="7"/>
      <w:r w:rsidRPr="00300121">
        <w:rPr>
          <w:rFonts w:ascii="Aptos" w:hAnsi="Aptos"/>
        </w:rPr>
        <w:t>Prices</w:t>
      </w:r>
      <w:commentRangeEnd w:id="7"/>
      <w:r w:rsidR="009B3DEA">
        <w:rPr>
          <w:rStyle w:val="CommentReference"/>
          <w:color w:val="auto"/>
        </w:rPr>
        <w:commentReference w:id="7"/>
      </w:r>
    </w:p>
    <w:p w14:paraId="1055DF19" w14:textId="77777777" w:rsidR="009B3DEA" w:rsidRPr="00300121" w:rsidRDefault="009B3DEA" w:rsidP="00300121">
      <w:pPr>
        <w:pStyle w:val="Heading3"/>
        <w:spacing w:line="312" w:lineRule="auto"/>
        <w:jc w:val="both"/>
        <w:rPr>
          <w:rFonts w:ascii="Aptos" w:hAnsi="Aptos"/>
        </w:rPr>
      </w:pPr>
    </w:p>
    <w:p w14:paraId="11355E64" w14:textId="77777777" w:rsidR="00F02DD2" w:rsidRPr="00300121" w:rsidRDefault="00000000" w:rsidP="00300121">
      <w:pPr>
        <w:pStyle w:val="Heading2"/>
        <w:spacing w:line="312" w:lineRule="auto"/>
        <w:jc w:val="both"/>
        <w:rPr>
          <w:rFonts w:ascii="Aptos" w:hAnsi="Aptos"/>
        </w:rPr>
      </w:pPr>
      <w:proofErr w:type="gramStart"/>
      <w:r w:rsidRPr="00300121">
        <w:rPr>
          <w:rFonts w:ascii="Aptos" w:hAnsi="Aptos"/>
        </w:rPr>
        <w:t>3.5  Data</w:t>
      </w:r>
      <w:proofErr w:type="gramEnd"/>
      <w:r w:rsidRPr="00300121">
        <w:rPr>
          <w:rFonts w:ascii="Aptos" w:hAnsi="Aptos"/>
        </w:rPr>
        <w:t xml:space="preserve"> </w:t>
      </w:r>
      <w:proofErr w:type="spellStart"/>
      <w:r w:rsidRPr="00300121">
        <w:rPr>
          <w:rFonts w:ascii="Aptos" w:hAnsi="Aptos"/>
        </w:rPr>
        <w:t>Harmonisation</w:t>
      </w:r>
      <w:proofErr w:type="spellEnd"/>
      <w:r w:rsidRPr="00300121">
        <w:rPr>
          <w:rFonts w:ascii="Aptos" w:hAnsi="Aptos"/>
        </w:rPr>
        <w:t xml:space="preserve"> &amp; Cross-Year Consistency</w:t>
      </w:r>
    </w:p>
    <w:p w14:paraId="4772DA13" w14:textId="20330DF9" w:rsidR="00F02DD2" w:rsidRPr="00300121" w:rsidRDefault="00E73607" w:rsidP="00300121">
      <w:pPr>
        <w:spacing w:after="200" w:line="312" w:lineRule="auto"/>
        <w:jc w:val="both"/>
        <w:rPr>
          <w:rFonts w:ascii="Aptos" w:hAnsi="Aptos"/>
        </w:rPr>
      </w:pPr>
      <w:r>
        <w:rPr>
          <w:rFonts w:ascii="Aptos" w:hAnsi="Aptos"/>
        </w:rPr>
        <w:t>Our input data come from different years and different places, which needs explicit justification when combining them. The heat</w:t>
      </w:r>
      <w:r w:rsidR="00000000" w:rsidRPr="00300121">
        <w:rPr>
          <w:rFonts w:ascii="Aptos" w:hAnsi="Aptos"/>
        </w:rPr>
        <w:t xml:space="preserve"> demand is taken from Aalborg for 2019 </w:t>
      </w:r>
      <w:r w:rsidR="00000000" w:rsidRPr="00300121">
        <w:rPr>
          <w:rFonts w:ascii="Aptos" w:hAnsi="Aptos"/>
          <w:i/>
          <w:iCs/>
          <w:color w:val="1F4E79"/>
        </w:rPr>
        <w:t>[</w:t>
      </w:r>
      <w:r w:rsidR="00000000" w:rsidRPr="009C0BDF">
        <w:rPr>
          <w:rFonts w:ascii="Aptos" w:hAnsi="Aptos"/>
          <w:i/>
          <w:iCs/>
          <w:color w:val="1F4E79"/>
          <w:highlight w:val="yellow"/>
        </w:rPr>
        <w:t>Schaffer et al., 2022</w:t>
      </w:r>
      <w:r w:rsidR="00000000" w:rsidRPr="00300121">
        <w:rPr>
          <w:rFonts w:ascii="Aptos" w:hAnsi="Aptos"/>
          <w:i/>
          <w:iCs/>
          <w:color w:val="1F4E79"/>
        </w:rPr>
        <w:t>]</w:t>
      </w:r>
      <w:r w:rsidR="00000000" w:rsidRPr="00300121">
        <w:rPr>
          <w:rFonts w:ascii="Aptos" w:hAnsi="Aptos"/>
        </w:rPr>
        <w:t>, chosen for its high temporal resolution and realistic household-level structure</w:t>
      </w:r>
      <w:r>
        <w:rPr>
          <w:rFonts w:ascii="Aptos" w:hAnsi="Aptos"/>
        </w:rPr>
        <w:t>. Th</w:t>
      </w:r>
      <w:r w:rsidR="00000000" w:rsidRPr="00300121">
        <w:rPr>
          <w:rFonts w:ascii="Aptos" w:hAnsi="Aptos"/>
        </w:rPr>
        <w:t>e locational</w:t>
      </w:r>
      <w:r>
        <w:rPr>
          <w:rFonts w:ascii="Aptos" w:hAnsi="Aptos"/>
        </w:rPr>
        <w:t xml:space="preserve"> </w:t>
      </w:r>
      <w:r w:rsidR="00000000" w:rsidRPr="00300121">
        <w:rPr>
          <w:rFonts w:ascii="Aptos" w:hAnsi="Aptos"/>
        </w:rPr>
        <w:t xml:space="preserve">mismatch risk to </w:t>
      </w:r>
      <w:proofErr w:type="spellStart"/>
      <w:r w:rsidR="00000000" w:rsidRPr="00300121">
        <w:rPr>
          <w:rFonts w:ascii="Aptos" w:hAnsi="Aptos"/>
        </w:rPr>
        <w:t>Jerrishoe</w:t>
      </w:r>
      <w:proofErr w:type="spellEnd"/>
      <w:r w:rsidR="00000000" w:rsidRPr="00300121">
        <w:rPr>
          <w:rFonts w:ascii="Aptos" w:hAnsi="Aptos"/>
        </w:rPr>
        <w:t xml:space="preserve"> is mitigated through the temperature/heating-degree-day comparison in </w:t>
      </w:r>
      <w:r w:rsidR="00000000" w:rsidRPr="009C0BDF">
        <w:rPr>
          <w:rFonts w:ascii="Aptos" w:hAnsi="Aptos"/>
          <w:highlight w:val="yellow"/>
        </w:rPr>
        <w:t>Section 3.3</w:t>
      </w:r>
      <w:r w:rsidR="00000000" w:rsidRPr="00300121">
        <w:rPr>
          <w:rFonts w:ascii="Aptos" w:hAnsi="Aptos"/>
        </w:rPr>
        <w:t xml:space="preserve"> and </w:t>
      </w:r>
      <w:commentRangeStart w:id="8"/>
      <w:r w:rsidR="00000000" w:rsidRPr="00300121">
        <w:rPr>
          <w:rFonts w:ascii="Aptos" w:hAnsi="Aptos"/>
        </w:rPr>
        <w:t>remains subject to sensitivity analysis.</w:t>
      </w:r>
      <w:commentRangeEnd w:id="8"/>
      <w:r>
        <w:rPr>
          <w:rStyle w:val="CommentReference"/>
        </w:rPr>
        <w:commentReference w:id="8"/>
      </w:r>
      <w:r w:rsidR="00000000" w:rsidRPr="00300121">
        <w:rPr>
          <w:rFonts w:ascii="Aptos" w:hAnsi="Aptos"/>
        </w:rPr>
        <w:t xml:space="preserve"> Electricity prices are taken from the German day-ahead wholesale market for 2024, chosen to reflect recent price volatility</w:t>
      </w:r>
      <w:r>
        <w:rPr>
          <w:rFonts w:ascii="Aptos" w:hAnsi="Aptos"/>
        </w:rPr>
        <w:t>. Th</w:t>
      </w:r>
      <w:r w:rsidR="00000000" w:rsidRPr="00300121">
        <w:rPr>
          <w:rFonts w:ascii="Aptos" w:hAnsi="Aptos"/>
        </w:rPr>
        <w:t xml:space="preserve">e risk is a temporal mismatch with the 2019 heat demand data, </w:t>
      </w:r>
      <w:commentRangeStart w:id="9"/>
      <w:r w:rsidR="00000000" w:rsidRPr="00300121">
        <w:rPr>
          <w:rFonts w:ascii="Aptos" w:hAnsi="Aptos"/>
        </w:rPr>
        <w:t>addressed via a scenario-based approach</w:t>
      </w:r>
      <w:commentRangeEnd w:id="9"/>
      <w:r>
        <w:rPr>
          <w:rStyle w:val="CommentReference"/>
        </w:rPr>
        <w:commentReference w:id="9"/>
      </w:r>
      <w:r w:rsidR="00000000" w:rsidRPr="00300121">
        <w:rPr>
          <w:rFonts w:ascii="Aptos" w:hAnsi="Aptos"/>
        </w:rPr>
        <w:t>. The gas price is modelled as a fixed assumption</w:t>
      </w:r>
      <w:r>
        <w:rPr>
          <w:rFonts w:ascii="Aptos" w:hAnsi="Aptos"/>
        </w:rPr>
        <w:t xml:space="preserve"> which is </w:t>
      </w:r>
      <w:r w:rsidR="00000000" w:rsidRPr="00300121">
        <w:rPr>
          <w:rFonts w:ascii="Aptos" w:hAnsi="Aptos"/>
        </w:rPr>
        <w:t>acceptable because the gas boiler covers only a share of peak/backup hours</w:t>
      </w:r>
      <w:r>
        <w:rPr>
          <w:rFonts w:ascii="Aptos" w:hAnsi="Aptos"/>
        </w:rPr>
        <w:t>. Th</w:t>
      </w:r>
      <w:r w:rsidR="00000000" w:rsidRPr="00300121">
        <w:rPr>
          <w:rFonts w:ascii="Aptos" w:hAnsi="Aptos"/>
        </w:rPr>
        <w:t xml:space="preserve">e risk of over- or underestimating its cost is addressed through a </w:t>
      </w:r>
      <w:commentRangeStart w:id="10"/>
      <w:r w:rsidR="00000000" w:rsidRPr="00300121">
        <w:rPr>
          <w:rFonts w:ascii="Aptos" w:hAnsi="Aptos"/>
        </w:rPr>
        <w:t>sensitivity analysis across low, base, and stress price scenarios.</w:t>
      </w:r>
      <w:commentRangeEnd w:id="10"/>
      <w:r>
        <w:rPr>
          <w:rStyle w:val="CommentReference"/>
        </w:rPr>
        <w:commentReference w:id="10"/>
      </w:r>
    </w:p>
    <w:p w14:paraId="11971622" w14:textId="4AB79F66" w:rsidR="009C0BDF" w:rsidRPr="00E73607" w:rsidRDefault="00E73607" w:rsidP="00300121">
      <w:pPr>
        <w:spacing w:after="200" w:line="312" w:lineRule="auto"/>
        <w:jc w:val="both"/>
        <w:rPr>
          <w:rFonts w:asciiTheme="minorHAnsi" w:hAnsiTheme="minorHAnsi"/>
        </w:rPr>
      </w:pPr>
      <w:commentRangeStart w:id="11"/>
      <w:r w:rsidRPr="00E73607">
        <w:rPr>
          <w:rFonts w:asciiTheme="minorHAnsi" w:hAnsiTheme="minorHAnsi"/>
        </w:rPr>
        <w:t xml:space="preserve">Both heat demand and electricity prices have strong seasonal structure, which is exactly what makes a direct correlation analysis between them risky — it would likely pick up shared seasonal trends rather than any genuine dependency. </w:t>
      </w:r>
      <w:r w:rsidRPr="00E73607">
        <w:rPr>
          <w:rFonts w:asciiTheme="minorHAnsi" w:hAnsiTheme="minorHAnsi"/>
        </w:rPr>
        <w:t>So,</w:t>
      </w:r>
      <w:r w:rsidRPr="00E73607">
        <w:rPr>
          <w:rFonts w:asciiTheme="minorHAnsi" w:hAnsiTheme="minorHAnsi"/>
        </w:rPr>
        <w:t xml:space="preserve"> no causal relationship is claimed here. Both series are treated as independent scenario inputs instead, and their combined effect on the system design is assessed through sensitivity analysis, not correlation-based</w:t>
      </w:r>
      <w:r w:rsidRPr="00E73607">
        <w:rPr>
          <w:rFonts w:asciiTheme="minorHAnsi" w:hAnsiTheme="minorHAnsi"/>
        </w:rPr>
        <w:t xml:space="preserve"> </w:t>
      </w:r>
      <w:commentRangeStart w:id="12"/>
      <w:commentRangeStart w:id="13"/>
      <w:r w:rsidR="00000000" w:rsidRPr="00E73607">
        <w:rPr>
          <w:rFonts w:asciiTheme="minorHAnsi" w:hAnsiTheme="minorHAnsi"/>
        </w:rPr>
        <w:t>inference</w:t>
      </w:r>
      <w:commentRangeEnd w:id="12"/>
      <w:r w:rsidR="009C0BDF" w:rsidRPr="00E73607">
        <w:rPr>
          <w:rStyle w:val="CommentReference"/>
          <w:rFonts w:asciiTheme="minorHAnsi" w:hAnsiTheme="minorHAnsi"/>
          <w:sz w:val="20"/>
          <w:szCs w:val="20"/>
        </w:rPr>
        <w:commentReference w:id="12"/>
      </w:r>
      <w:commentRangeEnd w:id="13"/>
      <w:r w:rsidR="009C0BDF" w:rsidRPr="00E73607">
        <w:rPr>
          <w:rStyle w:val="CommentReference"/>
          <w:rFonts w:asciiTheme="minorHAnsi" w:hAnsiTheme="minorHAnsi"/>
          <w:sz w:val="20"/>
          <w:szCs w:val="20"/>
        </w:rPr>
        <w:commentReference w:id="13"/>
      </w:r>
      <w:r w:rsidR="00000000" w:rsidRPr="00E73607">
        <w:rPr>
          <w:rFonts w:asciiTheme="minorHAnsi" w:hAnsiTheme="minorHAnsi"/>
        </w:rPr>
        <w:t>.</w:t>
      </w:r>
      <w:commentRangeEnd w:id="11"/>
      <w:r>
        <w:rPr>
          <w:rStyle w:val="CommentReference"/>
        </w:rPr>
        <w:commentReference w:id="11"/>
      </w:r>
    </w:p>
    <w:p w14:paraId="54FB0323" w14:textId="77777777" w:rsidR="009C0BDF" w:rsidRDefault="009C0BDF" w:rsidP="00300121">
      <w:pPr>
        <w:pStyle w:val="Heading2"/>
        <w:spacing w:before="400" w:line="312" w:lineRule="auto"/>
        <w:jc w:val="both"/>
        <w:rPr>
          <w:rFonts w:ascii="Aptos" w:hAnsi="Aptos"/>
        </w:rPr>
      </w:pPr>
    </w:p>
    <w:p w14:paraId="16781263" w14:textId="060B7391" w:rsidR="00F02DD2" w:rsidRPr="00300121" w:rsidRDefault="0090393A" w:rsidP="00300121">
      <w:pPr>
        <w:pStyle w:val="Heading2"/>
        <w:spacing w:before="400" w:line="312" w:lineRule="auto"/>
        <w:jc w:val="both"/>
        <w:rPr>
          <w:rFonts w:ascii="Aptos" w:hAnsi="Aptos"/>
        </w:rPr>
      </w:pPr>
      <w:r>
        <w:rPr>
          <w:rFonts w:ascii="Aptos" w:hAnsi="Aptos"/>
        </w:rPr>
        <w:t>Comments</w:t>
      </w:r>
      <w:r w:rsidR="00000000" w:rsidRPr="00300121">
        <w:rPr>
          <w:rFonts w:ascii="Aptos" w:hAnsi="Aptos"/>
        </w:rPr>
        <w:t xml:space="preserve"> for the Team</w:t>
      </w:r>
    </w:p>
    <w:p w14:paraId="1766122B" w14:textId="77777777" w:rsidR="00F02DD2" w:rsidRPr="00300121" w:rsidRDefault="00000000" w:rsidP="00300121">
      <w:pPr>
        <w:spacing w:after="200" w:line="312" w:lineRule="auto"/>
        <w:jc w:val="both"/>
        <w:rPr>
          <w:rFonts w:ascii="Aptos" w:hAnsi="Aptos"/>
        </w:rPr>
      </w:pPr>
      <w:r w:rsidRPr="00300121">
        <w:rPr>
          <w:rFonts w:ascii="Aptos" w:hAnsi="Aptos"/>
          <w:i/>
          <w:iCs/>
        </w:rPr>
        <w:t xml:space="preserve">This section lists cross-cutting gaps, repetitions, and decisions that affect more than one subsection and should be resolved before the chapter is </w:t>
      </w:r>
      <w:proofErr w:type="spellStart"/>
      <w:r w:rsidRPr="00300121">
        <w:rPr>
          <w:rFonts w:ascii="Aptos" w:hAnsi="Aptos"/>
          <w:i/>
          <w:iCs/>
        </w:rPr>
        <w:t>finalised</w:t>
      </w:r>
      <w:proofErr w:type="spellEnd"/>
      <w:r w:rsidRPr="00300121">
        <w:rPr>
          <w:rFonts w:ascii="Aptos" w:hAnsi="Aptos"/>
          <w:i/>
          <w:iCs/>
        </w:rPr>
        <w:t>:</w:t>
      </w:r>
    </w:p>
    <w:p w14:paraId="41D3C9EC" w14:textId="77777777" w:rsidR="00F02DD2" w:rsidRPr="00300121" w:rsidRDefault="00000000" w:rsidP="00300121">
      <w:pPr>
        <w:spacing w:after="200" w:line="312" w:lineRule="auto"/>
        <w:jc w:val="both"/>
        <w:rPr>
          <w:rFonts w:ascii="Aptos" w:hAnsi="Aptos"/>
        </w:rPr>
      </w:pPr>
      <w:r w:rsidRPr="00300121">
        <w:rPr>
          <w:rFonts w:ascii="Aptos" w:hAnsi="Aptos"/>
          <w:i/>
          <w:iCs/>
        </w:rPr>
        <w:t>1. Repetition: the Aalborg-≠-</w:t>
      </w:r>
      <w:proofErr w:type="spellStart"/>
      <w:r w:rsidRPr="00300121">
        <w:rPr>
          <w:rFonts w:ascii="Aptos" w:hAnsi="Aptos"/>
          <w:i/>
          <w:iCs/>
        </w:rPr>
        <w:t>Jerrishoe</w:t>
      </w:r>
      <w:proofErr w:type="spellEnd"/>
      <w:r w:rsidRPr="00300121">
        <w:rPr>
          <w:rFonts w:ascii="Aptos" w:hAnsi="Aptos"/>
          <w:i/>
          <w:iCs/>
        </w:rPr>
        <w:t xml:space="preserve"> disclaimer appears in full in both 3.1 and 3.5. Recommend keeping the full version in 3.1 and cross-referencing it briefly in 3.5 instead of restating it.</w:t>
      </w:r>
    </w:p>
    <w:p w14:paraId="74F63574" w14:textId="77777777" w:rsidR="00F02DD2" w:rsidRPr="00300121" w:rsidRDefault="00000000" w:rsidP="00300121">
      <w:pPr>
        <w:spacing w:after="200" w:line="312" w:lineRule="auto"/>
        <w:jc w:val="both"/>
        <w:rPr>
          <w:rFonts w:ascii="Aptos" w:hAnsi="Aptos"/>
        </w:rPr>
      </w:pPr>
      <w:r w:rsidRPr="00300121">
        <w:rPr>
          <w:rFonts w:ascii="Aptos" w:hAnsi="Aptos"/>
          <w:i/>
          <w:iCs/>
        </w:rPr>
        <w:lastRenderedPageBreak/>
        <w:t>2. The PV/weather year discrepancy (2019 vs. 2024, see note under 3.5) is the single most important open decision in this chapter, since it affects the stated rationale in both 3.4 and 3.5 and possibly the model results themselves.</w:t>
      </w:r>
    </w:p>
    <w:p w14:paraId="246D915D" w14:textId="77777777" w:rsidR="00F02DD2" w:rsidRPr="00300121" w:rsidRDefault="00000000" w:rsidP="00300121">
      <w:pPr>
        <w:spacing w:after="200" w:line="312" w:lineRule="auto"/>
        <w:jc w:val="both"/>
        <w:rPr>
          <w:rFonts w:ascii="Aptos" w:hAnsi="Aptos"/>
        </w:rPr>
      </w:pPr>
      <w:r w:rsidRPr="00300121">
        <w:rPr>
          <w:rFonts w:ascii="Aptos" w:hAnsi="Aptos"/>
          <w:i/>
          <w:iCs/>
        </w:rPr>
        <w:t>3. Section 3.4.2 (electricity and gas prices) currently has no source material to draft from — this is the main content gap blocking a complete chapter.</w:t>
      </w:r>
    </w:p>
    <w:p w14:paraId="1A6E57C2" w14:textId="77777777" w:rsidR="00F02DD2" w:rsidRPr="00300121" w:rsidRDefault="00000000" w:rsidP="00300121">
      <w:pPr>
        <w:spacing w:after="200" w:line="312" w:lineRule="auto"/>
        <w:jc w:val="both"/>
        <w:rPr>
          <w:rFonts w:ascii="Aptos" w:hAnsi="Aptos"/>
        </w:rPr>
      </w:pPr>
      <w:r w:rsidRPr="00300121">
        <w:rPr>
          <w:rFonts w:ascii="Aptos" w:hAnsi="Aptos"/>
          <w:i/>
          <w:iCs/>
        </w:rPr>
        <w:t xml:space="preserve">4. Several smaller factual claims (meter-reset mechanism, share of “unclear” meters, randomness of the 20% background failure rate, stability of 2019 as a weather year) are flagged inline above; each </w:t>
      </w:r>
      <w:proofErr w:type="gramStart"/>
      <w:r w:rsidRPr="00300121">
        <w:rPr>
          <w:rFonts w:ascii="Aptos" w:hAnsi="Aptos"/>
          <w:i/>
          <w:iCs/>
        </w:rPr>
        <w:t>needs</w:t>
      </w:r>
      <w:proofErr w:type="gramEnd"/>
      <w:r w:rsidRPr="00300121">
        <w:rPr>
          <w:rFonts w:ascii="Aptos" w:hAnsi="Aptos"/>
          <w:i/>
          <w:iCs/>
        </w:rPr>
        <w:t xml:space="preserve"> either a number, a source, or a rewording as an assumption rather than a fact.</w:t>
      </w:r>
    </w:p>
    <w:p w14:paraId="16295F15" w14:textId="77777777" w:rsidR="00F02DD2" w:rsidRPr="00300121" w:rsidRDefault="00000000" w:rsidP="00300121">
      <w:pPr>
        <w:spacing w:after="200" w:line="312" w:lineRule="auto"/>
        <w:jc w:val="both"/>
        <w:rPr>
          <w:rFonts w:ascii="Aptos" w:hAnsi="Aptos"/>
        </w:rPr>
      </w:pPr>
      <w:r w:rsidRPr="00300121">
        <w:rPr>
          <w:rFonts w:ascii="Aptos" w:hAnsi="Aptos"/>
          <w:i/>
          <w:iCs/>
        </w:rPr>
        <w:t xml:space="preserve">5. Citations used throughout follow Literaturquellen_Data_Processing.docx: Schaffer et al. (2022) for the Aalborg dataset, coverage threshold, and interpolation methodology; Cochran (1977) for stratified sampling and the Hamilton allocation; Massey (1951) for the KS-test; </w:t>
      </w:r>
      <w:proofErr w:type="spellStart"/>
      <w:r w:rsidRPr="00300121">
        <w:rPr>
          <w:rFonts w:ascii="Aptos" w:hAnsi="Aptos"/>
          <w:i/>
          <w:iCs/>
        </w:rPr>
        <w:t>Hersbach</w:t>
      </w:r>
      <w:proofErr w:type="spellEnd"/>
      <w:r w:rsidRPr="00300121">
        <w:rPr>
          <w:rFonts w:ascii="Aptos" w:hAnsi="Aptos"/>
          <w:i/>
          <w:iCs/>
        </w:rPr>
        <w:t xml:space="preserve"> et al. (2020) for all ERA5 use; ISO 15927-6 (2007) for heating degree days; </w:t>
      </w:r>
      <w:proofErr w:type="spellStart"/>
      <w:r w:rsidRPr="00300121">
        <w:rPr>
          <w:rFonts w:ascii="Aptos" w:hAnsi="Aptos"/>
          <w:i/>
          <w:iCs/>
        </w:rPr>
        <w:t>Stoft</w:t>
      </w:r>
      <w:proofErr w:type="spellEnd"/>
      <w:r w:rsidRPr="00300121">
        <w:rPr>
          <w:rFonts w:ascii="Aptos" w:hAnsi="Aptos"/>
          <w:i/>
          <w:iCs/>
        </w:rPr>
        <w:t xml:space="preserve"> (2002) for the load duration curve; Peng (2011) as the reproducibility reference for the fixed random seed. Please double-check in-text citation style (author-date vs. numbered) against your report's overall referencing format, as this draft uses a placeholder bracket style.</w:t>
      </w:r>
    </w:p>
    <w:sectPr w:rsidR="00F02DD2" w:rsidRPr="00300121">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le Kolb" w:date="2026-07-24T18:40:00Z" w:initials="NK">
    <w:p w14:paraId="6D2E7B58" w14:textId="77777777" w:rsidR="00300121" w:rsidRDefault="00300121" w:rsidP="00300121">
      <w:r>
        <w:rPr>
          <w:rStyle w:val="CommentReference"/>
        </w:rPr>
        <w:annotationRef/>
      </w:r>
      <w:r>
        <w:rPr>
          <w:b/>
          <w:bCs/>
          <w:color w:val="BF0000"/>
        </w:rPr>
        <w:t xml:space="preserve">Open point: </w:t>
      </w:r>
      <w:r>
        <w:rPr>
          <w:i/>
          <w:iCs/>
          <w:color w:val="BF0000"/>
        </w:rPr>
        <w:t>No quantitative summary table exists yet for this section (mean annual kWh/household, peak distribution, share by building type, before vs. after sampling). This was requested in your outline as a “master-level” addition — please confirm whether the underlying figures can be pulled from the Step 2 validation output (Section 3.2.2), so the table can be built from real numbers rather than estimated.</w:t>
      </w:r>
    </w:p>
  </w:comment>
  <w:comment w:id="1" w:author="Nele Kolb" w:date="2026-07-24T18:45:00Z" w:initials="NK">
    <w:p w14:paraId="3F776E06" w14:textId="77777777" w:rsidR="00300121" w:rsidRDefault="00300121" w:rsidP="00300121">
      <w:r>
        <w:rPr>
          <w:rStyle w:val="CommentReference"/>
        </w:rPr>
        <w:annotationRef/>
      </w:r>
      <w:r>
        <w:rPr>
          <w:b/>
          <w:bCs/>
          <w:color w:val="BF0000"/>
        </w:rPr>
        <w:t xml:space="preserve">Open point: </w:t>
      </w:r>
      <w:r>
        <w:rPr>
          <w:i/>
          <w:iCs/>
          <w:color w:val="BF0000"/>
        </w:rPr>
        <w:t>Two factual points from your notes still need confirmation before they can be stated as fact in the report: (1) why negative annual-consumption values occur alongside meter resets (a brief mechanistic explanation, or a citation, is needed), and (2) what share of the 3,021 meters actually falls into the “unclear” building-type category — this determines how strongly the exclusion affects representativeness and should be reported as a number, not left implicit.</w:t>
      </w:r>
    </w:p>
  </w:comment>
  <w:comment w:id="2" w:author="Nele Kolb" w:date="2026-07-24T18:50:00Z" w:initials="NK">
    <w:p w14:paraId="1D348C2F" w14:textId="77777777" w:rsidR="00AF733D" w:rsidRDefault="00AF733D" w:rsidP="00AF733D">
      <w:r>
        <w:rPr>
          <w:rStyle w:val="CommentReference"/>
        </w:rPr>
        <w:annotationRef/>
      </w:r>
      <w:r>
        <w:rPr>
          <w:b/>
          <w:bCs/>
          <w:color w:val="BF0000"/>
        </w:rPr>
        <w:t xml:space="preserve">Open point: </w:t>
      </w:r>
      <w:r>
        <w:rPr>
          <w:i/>
          <w:iCs/>
          <w:color w:val="BF0000"/>
        </w:rPr>
        <w:t>The 20% constant background failure rate (roughly 600 of 3,021 meters missing per hour) is currently assumed, not demonstrated, to be randomly distributed across meters and time. If this claim stays in the report, it needs either a brief independence check (e.g., failure rate vs. time-of-day/season) or should be reworded as a plausible but unverified assumption.</w:t>
      </w:r>
    </w:p>
    <w:p w14:paraId="0F20E142" w14:textId="77777777" w:rsidR="00AF733D" w:rsidRDefault="00AF733D" w:rsidP="00AF733D">
      <w:r>
        <w:rPr>
          <w:b/>
          <w:bCs/>
          <w:color w:val="BF0000"/>
        </w:rPr>
        <w:t xml:space="preserve">Open point: </w:t>
      </w:r>
      <w:r>
        <w:rPr>
          <w:i/>
          <w:iCs/>
          <w:color w:val="BF0000"/>
        </w:rPr>
        <w:t>The claim that 2019 was not a climatically unusual year currently has no source. Either find a supporting reference, or run/describe the sensitivity check you proposed (comparing 2018/2020 outputs), before including this as a stated limitation-mitigation.</w:t>
      </w:r>
    </w:p>
  </w:comment>
  <w:comment w:id="3" w:author="Nele Kolb" w:date="2026-07-24T18:51:00Z" w:initials="NK">
    <w:p w14:paraId="03464079" w14:textId="77777777" w:rsidR="00AF733D" w:rsidRDefault="00AF733D" w:rsidP="00AF733D">
      <w:r>
        <w:rPr>
          <w:rStyle w:val="CommentReference"/>
        </w:rPr>
        <w:annotationRef/>
      </w:r>
      <w:r>
        <w:t>Show table with comparing metrics instead of text?</w:t>
      </w:r>
    </w:p>
  </w:comment>
  <w:comment w:id="4" w:author="Nele Kolb" w:date="2026-07-24T18:53:00Z" w:initials="NK">
    <w:p w14:paraId="0E98EB37" w14:textId="77777777" w:rsidR="00AF733D" w:rsidRDefault="00AF733D" w:rsidP="00AF733D">
      <w:r>
        <w:rPr>
          <w:rStyle w:val="CommentReference"/>
        </w:rPr>
        <w:annotationRef/>
      </w:r>
      <w:r>
        <w:rPr>
          <w:b/>
          <w:bCs/>
          <w:color w:val="BF0000"/>
        </w:rPr>
        <w:t xml:space="preserve">Open point: </w:t>
      </w:r>
      <w:r>
        <w:rPr>
          <w:i/>
          <w:iCs/>
          <w:color w:val="BF0000"/>
        </w:rPr>
        <w:t>Consider adding one sentence citing the Solargis radiation data you used as a secondary confirmation of solar-resource similarity (per your unsorted notes) — currently the chapter relies solely on the ERA5-based comparison, and the Solargis cross-check strengthens the argument if it is included with a proper reference.</w:t>
      </w:r>
    </w:p>
    <w:p w14:paraId="271EBF5B" w14:textId="77777777" w:rsidR="00AF733D" w:rsidRDefault="00AF733D" w:rsidP="00AF733D">
      <w:r>
        <w:t>--&gt; reliable source and valid point to add?</w:t>
      </w:r>
    </w:p>
  </w:comment>
  <w:comment w:id="5" w:author="Nele Kolb" w:date="2026-07-25T13:21:00Z" w:initials="NK">
    <w:p w14:paraId="6627A694" w14:textId="77777777" w:rsidR="00003BA1" w:rsidRDefault="00003BA1" w:rsidP="00003BA1">
      <w:r>
        <w:rPr>
          <w:rStyle w:val="CommentReference"/>
        </w:rPr>
        <w:annotationRef/>
      </w:r>
      <w:r>
        <w:t>what does that mean? Important to mention?</w:t>
      </w:r>
    </w:p>
  </w:comment>
  <w:comment w:id="6" w:author="Nele Kolb" w:date="2026-07-24T18:58:00Z" w:initials="NK">
    <w:p w14:paraId="6707E6D3" w14:textId="61807998" w:rsidR="009B3DEA" w:rsidRDefault="009B3DEA" w:rsidP="009B3DEA">
      <w:r>
        <w:rPr>
          <w:rStyle w:val="CommentReference"/>
        </w:rPr>
        <w:annotationRef/>
      </w:r>
      <w:r>
        <w:t>Ändern! Ersteres oder beides implemented im Skript!</w:t>
      </w:r>
    </w:p>
  </w:comment>
  <w:comment w:id="7" w:author="Nele Kolb" w:date="2026-07-24T18:58:00Z" w:initials="NK">
    <w:p w14:paraId="39D7A816" w14:textId="77777777" w:rsidR="009B3DEA" w:rsidRDefault="009B3DEA" w:rsidP="009B3DEA">
      <w:r>
        <w:rPr>
          <w:rStyle w:val="CommentReference"/>
        </w:rPr>
        <w:annotationRef/>
      </w:r>
      <w:r>
        <w:rPr>
          <w:b/>
          <w:bCs/>
          <w:color w:val="BF0000"/>
        </w:rPr>
        <w:t xml:space="preserve">Open point: </w:t>
      </w:r>
      <w:r>
        <w:rPr>
          <w:i/>
          <w:iCs/>
          <w:color w:val="BF0000"/>
        </w:rPr>
        <w:t>No stichpunkte were provided for this subsection beyond the original chapter outline (“SMARD day-ahead wholesale 2024, constant gas price”). I have not written flowing text here, to avoid inventing details. Please provide: (a) the exact SMARD query/bidding zone and any pre-processing (e.g., the weekly-rhythm alignment mentioned in your slides), (b) the assumed gas price value and its justification, and (c) whether a sensitivity range for the gas price is planned — then this subsection can be drafted to the same standard as 3.4.1.</w:t>
      </w:r>
    </w:p>
  </w:comment>
  <w:comment w:id="8" w:author="Nele Kolb" w:date="2026-07-25T13:26:00Z" w:initials="NK">
    <w:p w14:paraId="5F8AA065" w14:textId="77777777" w:rsidR="00E73607" w:rsidRDefault="00E73607" w:rsidP="00E73607">
      <w:r>
        <w:rPr>
          <w:rStyle w:val="CommentReference"/>
        </w:rPr>
        <w:annotationRef/>
      </w:r>
      <w:r>
        <w:t>Machen wir das noch? Wenn nicht, den Teil des Satzes einfach rauslöschen?</w:t>
      </w:r>
    </w:p>
  </w:comment>
  <w:comment w:id="9" w:author="Nele Kolb" w:date="2026-07-25T13:29:00Z" w:initials="NK">
    <w:p w14:paraId="5F3A8EDE" w14:textId="77777777" w:rsidR="00E73607" w:rsidRDefault="00E73607" w:rsidP="00E73607">
      <w:r>
        <w:rPr>
          <w:rStyle w:val="CommentReference"/>
        </w:rPr>
        <w:annotationRef/>
      </w:r>
      <w:r>
        <w:t>hier quelle finden/argument hinzufügen: wetter und damit heat demand verändert sich nicht drastisch über ein paar jahre und ist an sich nicht von Krisen beeinflusst, während strompreise sehr sensibel darauf reagieren und deshalb die aktuellsten genommen wurden, für eine realistische up to date planung/simulation</w:t>
      </w:r>
    </w:p>
  </w:comment>
  <w:comment w:id="10" w:author="Nele Kolb" w:date="2026-07-25T13:30:00Z" w:initials="NK">
    <w:p w14:paraId="61ABD402" w14:textId="77777777" w:rsidR="00E73607" w:rsidRDefault="00E73607" w:rsidP="00E73607">
      <w:r>
        <w:rPr>
          <w:rStyle w:val="CommentReference"/>
        </w:rPr>
        <w:annotationRef/>
      </w:r>
      <w:r>
        <w:t>Machen wir das noch? Wenn nicht, diesen Teil löschen?!</w:t>
      </w:r>
    </w:p>
  </w:comment>
  <w:comment w:id="12" w:author="Nele Kolb" w:date="2026-07-24T19:02:00Z" w:initials="NK">
    <w:p w14:paraId="4D9E8EEC" w14:textId="5DE737AD" w:rsidR="009C0BDF" w:rsidRDefault="009C0BDF" w:rsidP="009C0BDF">
      <w:r>
        <w:rPr>
          <w:rStyle w:val="CommentReference"/>
        </w:rPr>
        <w:annotationRef/>
      </w:r>
      <w:r>
        <w:t>add a sentence why pv/weather data from 2019 in the end! (interacts more with heat demand and therefor brings higher consistency)</w:t>
      </w:r>
    </w:p>
  </w:comment>
  <w:comment w:id="13" w:author="Nele Kolb" w:date="2026-07-24T19:03:00Z" w:initials="NK">
    <w:p w14:paraId="77C069A3" w14:textId="77777777" w:rsidR="009C0BDF" w:rsidRDefault="009C0BDF" w:rsidP="009C0BDF">
      <w:r>
        <w:rPr>
          <w:rStyle w:val="CommentReference"/>
        </w:rPr>
        <w:annotationRef/>
      </w:r>
      <w:r>
        <w:rPr>
          <w:b/>
          <w:bCs/>
          <w:color w:val="BF0000"/>
        </w:rPr>
        <w:t xml:space="preserve">Open point: </w:t>
      </w:r>
      <w:r>
        <w:rPr>
          <w:i/>
          <w:iCs/>
          <w:color w:val="BF0000"/>
        </w:rPr>
        <w:t>A mapping table (Input / Year / Geography / Used for / Why acceptable / Risk / Mitigation) was planned for this section. I have not inserted it because its “Why acceptable” column for PV depends on the year question above; once resolved, the table can be finalised and added here without further rewriting of the prose.</w:t>
      </w:r>
    </w:p>
    <w:p w14:paraId="65B823A5" w14:textId="77777777" w:rsidR="009C0BDF" w:rsidRDefault="009C0BDF" w:rsidP="009C0BDF">
      <w:r>
        <w:rPr>
          <w:b/>
          <w:bCs/>
          <w:color w:val="BF0000"/>
        </w:rPr>
        <w:t xml:space="preserve">Open point: </w:t>
      </w:r>
      <w:r>
        <w:rPr>
          <w:i/>
          <w:iCs/>
          <w:color w:val="BF0000"/>
        </w:rPr>
        <w:t>No cross-year correlation or sanity check between heat demand and electricity prices has been carried out yet, although both Andreas's feedback and your own outline call for one. Please confirm whether such a check (or an explicit statement that none was performed and why) should be added before the report is finalised.</w:t>
      </w:r>
    </w:p>
  </w:comment>
  <w:comment w:id="11" w:author="Nele Kolb" w:date="2026-07-25T13:33:00Z" w:initials="NK">
    <w:p w14:paraId="016AF243" w14:textId="77777777" w:rsidR="00E73607" w:rsidRDefault="00E73607" w:rsidP="00E73607">
      <w:r>
        <w:rPr>
          <w:rStyle w:val="CommentReference"/>
        </w:rPr>
        <w:annotationRef/>
      </w:r>
      <w:r>
        <w:t>Stimmt das so? Auf welche Sensitivitätsanalyse bezieht sich das? Auf die vom Gesamtmodell?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2E7B58" w15:done="0"/>
  <w15:commentEx w15:paraId="3F776E06" w15:done="0"/>
  <w15:commentEx w15:paraId="0F20E142" w15:done="0"/>
  <w15:commentEx w15:paraId="03464079" w15:done="0"/>
  <w15:commentEx w15:paraId="271EBF5B" w15:done="0"/>
  <w15:commentEx w15:paraId="6627A694" w15:done="0"/>
  <w15:commentEx w15:paraId="6707E6D3" w15:done="0"/>
  <w15:commentEx w15:paraId="39D7A816" w15:done="0"/>
  <w15:commentEx w15:paraId="5F8AA065" w15:done="0"/>
  <w15:commentEx w15:paraId="5F3A8EDE" w15:done="0"/>
  <w15:commentEx w15:paraId="61ABD402" w15:done="0"/>
  <w15:commentEx w15:paraId="4D9E8EEC" w15:done="0"/>
  <w15:commentEx w15:paraId="65B823A5" w15:done="0"/>
  <w15:commentEx w15:paraId="016AF2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2FC2E7" w16cex:dateUtc="2026-07-24T16:40:00Z"/>
  <w16cex:commentExtensible w16cex:durableId="736A8287" w16cex:dateUtc="2026-07-24T16:45:00Z"/>
  <w16cex:commentExtensible w16cex:durableId="6C9D8F4E" w16cex:dateUtc="2026-07-24T16:50:00Z"/>
  <w16cex:commentExtensible w16cex:durableId="26739DFD" w16cex:dateUtc="2026-07-24T16:51:00Z"/>
  <w16cex:commentExtensible w16cex:durableId="61E4ECFD" w16cex:dateUtc="2026-07-24T16:53:00Z"/>
  <w16cex:commentExtensible w16cex:durableId="1F2B9B1D" w16cex:dateUtc="2026-07-25T11:21:00Z"/>
  <w16cex:commentExtensible w16cex:durableId="1FA09E3C" w16cex:dateUtc="2026-07-24T16:58:00Z"/>
  <w16cex:commentExtensible w16cex:durableId="328FC43A" w16cex:dateUtc="2026-07-24T16:58:00Z"/>
  <w16cex:commentExtensible w16cex:durableId="4A41AE5A" w16cex:dateUtc="2026-07-25T11:26:00Z"/>
  <w16cex:commentExtensible w16cex:durableId="42A30E5C" w16cex:dateUtc="2026-07-25T11:29:00Z"/>
  <w16cex:commentExtensible w16cex:durableId="3253C7F3" w16cex:dateUtc="2026-07-25T11:30:00Z"/>
  <w16cex:commentExtensible w16cex:durableId="4A2D4149" w16cex:dateUtc="2026-07-24T17:02:00Z"/>
  <w16cex:commentExtensible w16cex:durableId="233404D0" w16cex:dateUtc="2026-07-24T17:03:00Z"/>
  <w16cex:commentExtensible w16cex:durableId="17046A1A" w16cex:dateUtc="2026-07-25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2E7B58" w16cid:durableId="0F2FC2E7"/>
  <w16cid:commentId w16cid:paraId="3F776E06" w16cid:durableId="736A8287"/>
  <w16cid:commentId w16cid:paraId="0F20E142" w16cid:durableId="6C9D8F4E"/>
  <w16cid:commentId w16cid:paraId="03464079" w16cid:durableId="26739DFD"/>
  <w16cid:commentId w16cid:paraId="271EBF5B" w16cid:durableId="61E4ECFD"/>
  <w16cid:commentId w16cid:paraId="6627A694" w16cid:durableId="1F2B9B1D"/>
  <w16cid:commentId w16cid:paraId="6707E6D3" w16cid:durableId="1FA09E3C"/>
  <w16cid:commentId w16cid:paraId="39D7A816" w16cid:durableId="328FC43A"/>
  <w16cid:commentId w16cid:paraId="5F8AA065" w16cid:durableId="4A41AE5A"/>
  <w16cid:commentId w16cid:paraId="5F3A8EDE" w16cid:durableId="42A30E5C"/>
  <w16cid:commentId w16cid:paraId="61ABD402" w16cid:durableId="3253C7F3"/>
  <w16cid:commentId w16cid:paraId="4D9E8EEC" w16cid:durableId="4A2D4149"/>
  <w16cid:commentId w16cid:paraId="65B823A5" w16cid:durableId="233404D0"/>
  <w16cid:commentId w16cid:paraId="016AF243" w16cid:durableId="17046A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A3BD1"/>
    <w:multiLevelType w:val="hybridMultilevel"/>
    <w:tmpl w:val="FDC874A6"/>
    <w:lvl w:ilvl="0" w:tplc="8D08DEFA">
      <w:start w:val="1"/>
      <w:numFmt w:val="bullet"/>
      <w:lvlText w:val="●"/>
      <w:lvlJc w:val="left"/>
      <w:pPr>
        <w:ind w:left="720" w:hanging="360"/>
      </w:pPr>
    </w:lvl>
    <w:lvl w:ilvl="1" w:tplc="BB9E42E6">
      <w:start w:val="1"/>
      <w:numFmt w:val="bullet"/>
      <w:lvlText w:val="○"/>
      <w:lvlJc w:val="left"/>
      <w:pPr>
        <w:ind w:left="1440" w:hanging="360"/>
      </w:pPr>
    </w:lvl>
    <w:lvl w:ilvl="2" w:tplc="F602507E">
      <w:start w:val="1"/>
      <w:numFmt w:val="bullet"/>
      <w:lvlText w:val="■"/>
      <w:lvlJc w:val="left"/>
      <w:pPr>
        <w:ind w:left="2160" w:hanging="360"/>
      </w:pPr>
    </w:lvl>
    <w:lvl w:ilvl="3" w:tplc="85603F08">
      <w:start w:val="1"/>
      <w:numFmt w:val="bullet"/>
      <w:lvlText w:val="●"/>
      <w:lvlJc w:val="left"/>
      <w:pPr>
        <w:ind w:left="2880" w:hanging="360"/>
      </w:pPr>
    </w:lvl>
    <w:lvl w:ilvl="4" w:tplc="8496E246">
      <w:start w:val="1"/>
      <w:numFmt w:val="bullet"/>
      <w:lvlText w:val="○"/>
      <w:lvlJc w:val="left"/>
      <w:pPr>
        <w:ind w:left="3600" w:hanging="360"/>
      </w:pPr>
    </w:lvl>
    <w:lvl w:ilvl="5" w:tplc="1F681B64">
      <w:start w:val="1"/>
      <w:numFmt w:val="bullet"/>
      <w:lvlText w:val="■"/>
      <w:lvlJc w:val="left"/>
      <w:pPr>
        <w:ind w:left="4320" w:hanging="360"/>
      </w:pPr>
    </w:lvl>
    <w:lvl w:ilvl="6" w:tplc="0D002B40">
      <w:start w:val="1"/>
      <w:numFmt w:val="bullet"/>
      <w:lvlText w:val="●"/>
      <w:lvlJc w:val="left"/>
      <w:pPr>
        <w:ind w:left="5040" w:hanging="360"/>
      </w:pPr>
    </w:lvl>
    <w:lvl w:ilvl="7" w:tplc="8DC661D6">
      <w:start w:val="1"/>
      <w:numFmt w:val="bullet"/>
      <w:lvlText w:val="●"/>
      <w:lvlJc w:val="left"/>
      <w:pPr>
        <w:ind w:left="5760" w:hanging="360"/>
      </w:pPr>
    </w:lvl>
    <w:lvl w:ilvl="8" w:tplc="EB68B992">
      <w:start w:val="1"/>
      <w:numFmt w:val="bullet"/>
      <w:lvlText w:val="●"/>
      <w:lvlJc w:val="left"/>
      <w:pPr>
        <w:ind w:left="6480" w:hanging="360"/>
      </w:pPr>
    </w:lvl>
  </w:abstractNum>
  <w:num w:numId="1" w16cid:durableId="173389187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e Kolb">
    <w15:presenceInfo w15:providerId="AD" w15:userId="S::nele.kolb@studierende.uni-flensburg.de::413e74bd-d373-436d-833f-91d6b9ddb3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DD2"/>
    <w:rsid w:val="00003BA1"/>
    <w:rsid w:val="00300121"/>
    <w:rsid w:val="006A02F5"/>
    <w:rsid w:val="008578C5"/>
    <w:rsid w:val="00872A8B"/>
    <w:rsid w:val="008E58BE"/>
    <w:rsid w:val="0090393A"/>
    <w:rsid w:val="00922423"/>
    <w:rsid w:val="009B3DEA"/>
    <w:rsid w:val="009C0BDF"/>
    <w:rsid w:val="00AF733D"/>
    <w:rsid w:val="00B406F9"/>
    <w:rsid w:val="00D3174E"/>
    <w:rsid w:val="00D45159"/>
    <w:rsid w:val="00E5498E"/>
    <w:rsid w:val="00E64EE8"/>
    <w:rsid w:val="00E73607"/>
    <w:rsid w:val="00EC7E9D"/>
    <w:rsid w:val="00F02DD2"/>
    <w:rsid w:val="00F40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999AD"/>
  <w15:docId w15:val="{0313BBC4-8926-244A-A987-94A1205F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00121"/>
    <w:rPr>
      <w:sz w:val="16"/>
      <w:szCs w:val="16"/>
    </w:rPr>
  </w:style>
  <w:style w:type="paragraph" w:styleId="CommentText">
    <w:name w:val="annotation text"/>
    <w:basedOn w:val="Normal"/>
    <w:link w:val="CommentTextChar"/>
    <w:uiPriority w:val="99"/>
    <w:semiHidden/>
    <w:unhideWhenUsed/>
    <w:rsid w:val="00300121"/>
  </w:style>
  <w:style w:type="character" w:customStyle="1" w:styleId="CommentTextChar">
    <w:name w:val="Comment Text Char"/>
    <w:basedOn w:val="DefaultParagraphFont"/>
    <w:link w:val="CommentText"/>
    <w:uiPriority w:val="99"/>
    <w:semiHidden/>
    <w:rsid w:val="00300121"/>
  </w:style>
  <w:style w:type="paragraph" w:styleId="CommentSubject">
    <w:name w:val="annotation subject"/>
    <w:basedOn w:val="CommentText"/>
    <w:next w:val="CommentText"/>
    <w:link w:val="CommentSubjectChar"/>
    <w:uiPriority w:val="99"/>
    <w:semiHidden/>
    <w:unhideWhenUsed/>
    <w:rsid w:val="00300121"/>
    <w:rPr>
      <w:b/>
      <w:bCs/>
    </w:rPr>
  </w:style>
  <w:style w:type="character" w:customStyle="1" w:styleId="CommentSubjectChar">
    <w:name w:val="Comment Subject Char"/>
    <w:basedOn w:val="CommentTextChar"/>
    <w:link w:val="CommentSubject"/>
    <w:uiPriority w:val="99"/>
    <w:semiHidden/>
    <w:rsid w:val="00300121"/>
    <w:rPr>
      <w:b/>
      <w:bCs/>
    </w:rPr>
  </w:style>
  <w:style w:type="character" w:styleId="UnresolvedMention">
    <w:name w:val="Unresolved Mention"/>
    <w:basedOn w:val="DefaultParagraphFont"/>
    <w:uiPriority w:val="99"/>
    <w:semiHidden/>
    <w:unhideWhenUsed/>
    <w:rsid w:val="00AF7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1732</Words>
  <Characters>9874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Nele Kolb</cp:lastModifiedBy>
  <cp:revision>14</cp:revision>
  <dcterms:created xsi:type="dcterms:W3CDTF">2026-07-24T16:32:00Z</dcterms:created>
  <dcterms:modified xsi:type="dcterms:W3CDTF">2026-07-25T11:37:00Z</dcterms:modified>
</cp:coreProperties>
</file>